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BA69D" w14:textId="77777777" w:rsidR="00ED792D" w:rsidRDefault="00E262BF" w:rsidP="00524D23">
      <w:pPr>
        <w:jc w:val="center"/>
        <w:rPr>
          <w:b/>
          <w:smallCaps/>
          <w:sz w:val="36"/>
          <w:szCs w:val="36"/>
        </w:rPr>
      </w:pPr>
      <w:r w:rsidRPr="00B12F64">
        <w:rPr>
          <w:b/>
          <w:smallCaps/>
          <w:sz w:val="36"/>
          <w:szCs w:val="36"/>
        </w:rPr>
        <w:t xml:space="preserve">Tabella </w:t>
      </w:r>
      <w:r w:rsidR="00653A51" w:rsidRPr="00B12F64">
        <w:rPr>
          <w:b/>
          <w:smallCaps/>
          <w:sz w:val="36"/>
          <w:szCs w:val="36"/>
        </w:rPr>
        <w:t>delle</w:t>
      </w:r>
      <w:r w:rsidRPr="00B12F64">
        <w:rPr>
          <w:b/>
          <w:smallCaps/>
          <w:sz w:val="36"/>
          <w:szCs w:val="36"/>
        </w:rPr>
        <w:t xml:space="preserve"> Misure di prevenzione</w:t>
      </w:r>
    </w:p>
    <w:p w14:paraId="0623C428" w14:textId="43C9AF94" w:rsidR="00F328AC" w:rsidRDefault="00B57F14" w:rsidP="00524D23">
      <w:pPr>
        <w:jc w:val="center"/>
        <w:rPr>
          <w:b/>
          <w:smallCaps/>
          <w:sz w:val="32"/>
          <w:szCs w:val="32"/>
        </w:rPr>
      </w:pPr>
      <w:r w:rsidRPr="00B57F14">
        <w:rPr>
          <w:b/>
          <w:smallCaps/>
          <w:sz w:val="32"/>
          <w:szCs w:val="32"/>
        </w:rPr>
        <w:t>ALLEGATO N. 2 AL PTPC  20</w:t>
      </w:r>
      <w:r w:rsidR="0033540A">
        <w:rPr>
          <w:b/>
          <w:smallCaps/>
          <w:sz w:val="32"/>
          <w:szCs w:val="32"/>
        </w:rPr>
        <w:t>20</w:t>
      </w:r>
      <w:r w:rsidRPr="00B57F14">
        <w:rPr>
          <w:b/>
          <w:smallCaps/>
          <w:sz w:val="32"/>
          <w:szCs w:val="32"/>
        </w:rPr>
        <w:t xml:space="preserve"> – 20</w:t>
      </w:r>
      <w:r w:rsidR="00A30303">
        <w:rPr>
          <w:b/>
          <w:smallCaps/>
          <w:sz w:val="32"/>
          <w:szCs w:val="32"/>
        </w:rPr>
        <w:t>2</w:t>
      </w:r>
      <w:r w:rsidR="0033540A">
        <w:rPr>
          <w:b/>
          <w:smallCaps/>
          <w:sz w:val="32"/>
          <w:szCs w:val="32"/>
        </w:rPr>
        <w:t>2</w:t>
      </w:r>
      <w:r w:rsidRPr="00B57F14">
        <w:rPr>
          <w:b/>
          <w:smallCaps/>
          <w:sz w:val="32"/>
          <w:szCs w:val="32"/>
        </w:rPr>
        <w:t xml:space="preserve"> DELL’ORDINE DEGLI INGEGNERI DELLA PROVINCIA DI</w:t>
      </w:r>
      <w:r w:rsidR="00D247F3">
        <w:rPr>
          <w:b/>
          <w:smallCaps/>
          <w:sz w:val="32"/>
          <w:szCs w:val="32"/>
        </w:rPr>
        <w:t xml:space="preserve"> COMO</w:t>
      </w:r>
    </w:p>
    <w:p w14:paraId="2528F452" w14:textId="77777777" w:rsidR="00B57F14" w:rsidRPr="00B12F64" w:rsidRDefault="00B57F14" w:rsidP="00524D23">
      <w:pPr>
        <w:jc w:val="center"/>
        <w:rPr>
          <w:b/>
          <w:smallCaps/>
          <w:sz w:val="36"/>
          <w:szCs w:val="36"/>
        </w:rPr>
      </w:pPr>
    </w:p>
    <w:tbl>
      <w:tblPr>
        <w:tblStyle w:val="Grigliatabella"/>
        <w:tblW w:w="14596" w:type="dxa"/>
        <w:tblLook w:val="04A0" w:firstRow="1" w:lastRow="0" w:firstColumn="1" w:lastColumn="0" w:noHBand="0" w:noVBand="1"/>
      </w:tblPr>
      <w:tblGrid>
        <w:gridCol w:w="3681"/>
        <w:gridCol w:w="3402"/>
        <w:gridCol w:w="1843"/>
        <w:gridCol w:w="5670"/>
      </w:tblGrid>
      <w:tr w:rsidR="00BC25AF" w14:paraId="28CA47FD" w14:textId="77777777" w:rsidTr="00B745E7">
        <w:tc>
          <w:tcPr>
            <w:tcW w:w="3681" w:type="dxa"/>
          </w:tcPr>
          <w:p w14:paraId="2F31B3B3" w14:textId="77777777" w:rsidR="008332AE" w:rsidRDefault="008332AE">
            <w:r>
              <w:t>Area di rischio</w:t>
            </w:r>
          </w:p>
        </w:tc>
        <w:tc>
          <w:tcPr>
            <w:tcW w:w="3402" w:type="dxa"/>
          </w:tcPr>
          <w:p w14:paraId="20C79F90" w14:textId="77777777" w:rsidR="008332AE" w:rsidRDefault="008332AE">
            <w:r>
              <w:t>Rischio individuato</w:t>
            </w:r>
          </w:p>
        </w:tc>
        <w:tc>
          <w:tcPr>
            <w:tcW w:w="1843" w:type="dxa"/>
          </w:tcPr>
          <w:p w14:paraId="2541205F" w14:textId="77777777" w:rsidR="008332AE" w:rsidRDefault="008332AE">
            <w:r>
              <w:t>Livello di rischio attribuito (ponderazione</w:t>
            </w:r>
            <w:r w:rsidR="00B745E7">
              <w:t>)</w:t>
            </w:r>
          </w:p>
        </w:tc>
        <w:tc>
          <w:tcPr>
            <w:tcW w:w="5670" w:type="dxa"/>
          </w:tcPr>
          <w:p w14:paraId="4E8393CF" w14:textId="77777777" w:rsidR="008332AE" w:rsidRDefault="008332AE">
            <w:r>
              <w:t>Misura di prevenzione</w:t>
            </w:r>
          </w:p>
        </w:tc>
      </w:tr>
      <w:tr w:rsidR="00BC25AF" w14:paraId="5F15D370" w14:textId="77777777" w:rsidTr="006374A8">
        <w:trPr>
          <w:trHeight w:val="303"/>
        </w:trPr>
        <w:tc>
          <w:tcPr>
            <w:tcW w:w="3681" w:type="dxa"/>
            <w:shd w:val="clear" w:color="auto" w:fill="FF0000"/>
          </w:tcPr>
          <w:p w14:paraId="73387BF0" w14:textId="77777777" w:rsidR="008332AE" w:rsidRPr="000C3946" w:rsidRDefault="008332AE">
            <w:pPr>
              <w:rPr>
                <w:b/>
                <w:smallCaps/>
              </w:rPr>
            </w:pPr>
            <w:r w:rsidRPr="000C3946">
              <w:rPr>
                <w:b/>
                <w:smallCaps/>
              </w:rPr>
              <w:t>Area acquisizione e progressione del personale</w:t>
            </w:r>
          </w:p>
          <w:p w14:paraId="58F7ADE2" w14:textId="77777777" w:rsidR="008332AE" w:rsidRDefault="008332AE"/>
        </w:tc>
        <w:tc>
          <w:tcPr>
            <w:tcW w:w="3402" w:type="dxa"/>
            <w:shd w:val="clear" w:color="auto" w:fill="FF0000"/>
          </w:tcPr>
          <w:p w14:paraId="30D68F25" w14:textId="77777777" w:rsidR="008332AE" w:rsidRPr="006374A8" w:rsidRDefault="008332AE">
            <w:pPr>
              <w:rPr>
                <w:color w:val="FF0000"/>
              </w:rPr>
            </w:pPr>
          </w:p>
        </w:tc>
        <w:tc>
          <w:tcPr>
            <w:tcW w:w="1843" w:type="dxa"/>
            <w:shd w:val="clear" w:color="auto" w:fill="FF0000"/>
          </w:tcPr>
          <w:p w14:paraId="323E4254" w14:textId="77777777" w:rsidR="008332AE" w:rsidRPr="006374A8" w:rsidRDefault="008332AE">
            <w:pPr>
              <w:rPr>
                <w:color w:val="FF0000"/>
              </w:rPr>
            </w:pPr>
          </w:p>
        </w:tc>
        <w:tc>
          <w:tcPr>
            <w:tcW w:w="5670" w:type="dxa"/>
            <w:shd w:val="clear" w:color="auto" w:fill="FF0000"/>
          </w:tcPr>
          <w:p w14:paraId="198359B9" w14:textId="77777777" w:rsidR="00BE601A" w:rsidRPr="006374A8" w:rsidRDefault="00BE601A" w:rsidP="006374A8">
            <w:pPr>
              <w:pStyle w:val="Paragrafoelenco"/>
              <w:rPr>
                <w:color w:val="FF0000"/>
              </w:rPr>
            </w:pPr>
          </w:p>
        </w:tc>
      </w:tr>
      <w:tr w:rsidR="00BC25AF" w14:paraId="398128B0" w14:textId="77777777" w:rsidTr="00B745E7">
        <w:trPr>
          <w:trHeight w:val="301"/>
        </w:trPr>
        <w:tc>
          <w:tcPr>
            <w:tcW w:w="3681" w:type="dxa"/>
            <w:shd w:val="clear" w:color="auto" w:fill="F2F2F2" w:themeFill="background1" w:themeFillShade="F2"/>
          </w:tcPr>
          <w:p w14:paraId="635D6998" w14:textId="77777777" w:rsidR="008332AE" w:rsidRDefault="008332AE">
            <w:r>
              <w:t>Reclutamento</w:t>
            </w:r>
          </w:p>
        </w:tc>
        <w:tc>
          <w:tcPr>
            <w:tcW w:w="3402" w:type="dxa"/>
          </w:tcPr>
          <w:p w14:paraId="11A8DA5E" w14:textId="77777777" w:rsidR="008332AE" w:rsidRDefault="00DC2AC2">
            <w:r w:rsidRPr="00DC2AC2">
              <w:t>Alterazione dei risultati della procedura concorsuale</w:t>
            </w:r>
          </w:p>
        </w:tc>
        <w:tc>
          <w:tcPr>
            <w:tcW w:w="1843" w:type="dxa"/>
          </w:tcPr>
          <w:p w14:paraId="15CDFC14" w14:textId="77777777" w:rsidR="008332AE" w:rsidRPr="00DC2AC2" w:rsidRDefault="00026BF6" w:rsidP="00DC2AC2">
            <w:pPr>
              <w:jc w:val="center"/>
              <w:rPr>
                <w:b/>
              </w:rPr>
            </w:pPr>
            <w:r>
              <w:rPr>
                <w:b/>
              </w:rPr>
              <w:t>2</w:t>
            </w:r>
          </w:p>
        </w:tc>
        <w:tc>
          <w:tcPr>
            <w:tcW w:w="5670" w:type="dxa"/>
          </w:tcPr>
          <w:p w14:paraId="1A4C3A06" w14:textId="77777777" w:rsidR="008332AE" w:rsidRDefault="00D71193" w:rsidP="00F1171E">
            <w:pPr>
              <w:pStyle w:val="Paragrafoelenco"/>
              <w:ind w:left="28"/>
            </w:pPr>
            <w:r>
              <w:t>Presenza del Responsabile del Procedimento.</w:t>
            </w:r>
          </w:p>
          <w:p w14:paraId="795AB8D7" w14:textId="77777777" w:rsidR="00D71193" w:rsidRDefault="00D71193" w:rsidP="00F1171E">
            <w:pPr>
              <w:pStyle w:val="Paragrafoelenco"/>
              <w:ind w:left="28"/>
            </w:pPr>
            <w:r>
              <w:t>Controllo dello svolgimento da parte della Commissione.</w:t>
            </w:r>
          </w:p>
          <w:p w14:paraId="287206F2" w14:textId="77777777" w:rsidR="00D71193" w:rsidRDefault="00D71193" w:rsidP="00F1171E">
            <w:pPr>
              <w:pStyle w:val="Paragrafoelenco"/>
              <w:ind w:left="28"/>
            </w:pPr>
          </w:p>
        </w:tc>
      </w:tr>
      <w:tr w:rsidR="00BC25AF" w14:paraId="30EC828B" w14:textId="77777777" w:rsidTr="00B745E7">
        <w:trPr>
          <w:trHeight w:val="301"/>
        </w:trPr>
        <w:tc>
          <w:tcPr>
            <w:tcW w:w="3681" w:type="dxa"/>
            <w:shd w:val="clear" w:color="auto" w:fill="F2F2F2" w:themeFill="background1" w:themeFillShade="F2"/>
          </w:tcPr>
          <w:p w14:paraId="2B02B950" w14:textId="77777777" w:rsidR="008332AE" w:rsidRDefault="008332AE">
            <w:r>
              <w:t>Progressioni di carriera</w:t>
            </w:r>
          </w:p>
        </w:tc>
        <w:tc>
          <w:tcPr>
            <w:tcW w:w="3402" w:type="dxa"/>
          </w:tcPr>
          <w:p w14:paraId="228BEF95" w14:textId="77777777" w:rsidR="008332AE" w:rsidRDefault="00DC2AC2">
            <w:r w:rsidRPr="00DC2AC2">
              <w:t>Alterazione dei risultati</w:t>
            </w:r>
            <w:r>
              <w:t xml:space="preserve"> della procedura</w:t>
            </w:r>
          </w:p>
        </w:tc>
        <w:tc>
          <w:tcPr>
            <w:tcW w:w="1843" w:type="dxa"/>
          </w:tcPr>
          <w:p w14:paraId="6D72DF79" w14:textId="77777777" w:rsidR="008332AE" w:rsidRPr="00DC2AC2" w:rsidRDefault="00026BF6" w:rsidP="00DC2AC2">
            <w:pPr>
              <w:jc w:val="center"/>
              <w:rPr>
                <w:b/>
              </w:rPr>
            </w:pPr>
            <w:r>
              <w:rPr>
                <w:b/>
              </w:rPr>
              <w:t>2</w:t>
            </w:r>
          </w:p>
        </w:tc>
        <w:tc>
          <w:tcPr>
            <w:tcW w:w="5670" w:type="dxa"/>
          </w:tcPr>
          <w:p w14:paraId="6AF41592" w14:textId="77777777" w:rsidR="00B561C6" w:rsidRDefault="00F1171E" w:rsidP="00F1171E">
            <w:pPr>
              <w:pStyle w:val="Paragrafoelenco"/>
              <w:ind w:left="28"/>
            </w:pPr>
            <w:r w:rsidRPr="00F1171E">
              <w:t>Solo scatti automatici contrattuali.</w:t>
            </w:r>
          </w:p>
        </w:tc>
      </w:tr>
      <w:tr w:rsidR="00965C19" w14:paraId="20E3A70D" w14:textId="77777777" w:rsidTr="00965C19">
        <w:trPr>
          <w:trHeight w:val="75"/>
        </w:trPr>
        <w:tc>
          <w:tcPr>
            <w:tcW w:w="3681" w:type="dxa"/>
            <w:shd w:val="clear" w:color="auto" w:fill="92D050"/>
          </w:tcPr>
          <w:p w14:paraId="7C58D5C0" w14:textId="77777777" w:rsidR="00965C19" w:rsidRPr="000C3946" w:rsidRDefault="00965C19">
            <w:pPr>
              <w:rPr>
                <w:b/>
                <w:smallCaps/>
              </w:rPr>
            </w:pPr>
            <w:r w:rsidRPr="000C3946">
              <w:rPr>
                <w:b/>
                <w:smallCaps/>
              </w:rPr>
              <w:t>Area affidamento di lavori, servizi e forniture</w:t>
            </w:r>
          </w:p>
        </w:tc>
        <w:tc>
          <w:tcPr>
            <w:tcW w:w="3402" w:type="dxa"/>
            <w:shd w:val="clear" w:color="auto" w:fill="92D050"/>
          </w:tcPr>
          <w:p w14:paraId="770D1CFC" w14:textId="77777777" w:rsidR="00965C19" w:rsidRDefault="00965C19"/>
        </w:tc>
        <w:tc>
          <w:tcPr>
            <w:tcW w:w="1843" w:type="dxa"/>
            <w:shd w:val="clear" w:color="auto" w:fill="92D050"/>
          </w:tcPr>
          <w:p w14:paraId="4D1DE1AA" w14:textId="77777777" w:rsidR="00965C19" w:rsidRDefault="00965C19"/>
        </w:tc>
        <w:tc>
          <w:tcPr>
            <w:tcW w:w="5670" w:type="dxa"/>
            <w:shd w:val="clear" w:color="auto" w:fill="92D050"/>
          </w:tcPr>
          <w:p w14:paraId="0E6702D0" w14:textId="77777777" w:rsidR="00965C19" w:rsidRDefault="00965C19" w:rsidP="00F1171E">
            <w:pPr>
              <w:ind w:left="28"/>
            </w:pPr>
          </w:p>
        </w:tc>
      </w:tr>
      <w:tr w:rsidR="006374A8" w14:paraId="39560558" w14:textId="77777777" w:rsidTr="00B745E7">
        <w:trPr>
          <w:trHeight w:val="75"/>
        </w:trPr>
        <w:tc>
          <w:tcPr>
            <w:tcW w:w="3681" w:type="dxa"/>
            <w:shd w:val="clear" w:color="auto" w:fill="F2F2F2" w:themeFill="background1" w:themeFillShade="F2"/>
          </w:tcPr>
          <w:p w14:paraId="588C6E1F" w14:textId="77777777" w:rsidR="006374A8" w:rsidRDefault="006374A8">
            <w:r>
              <w:t>Definizione dell’oggetto dell’affidamento</w:t>
            </w:r>
          </w:p>
        </w:tc>
        <w:tc>
          <w:tcPr>
            <w:tcW w:w="3402" w:type="dxa"/>
            <w:vMerge w:val="restart"/>
          </w:tcPr>
          <w:p w14:paraId="1E697148" w14:textId="77777777" w:rsidR="006E51DB" w:rsidRDefault="006E51DB" w:rsidP="006E51DB">
            <w:pPr>
              <w:jc w:val="both"/>
            </w:pPr>
            <w:r>
              <w:t>Mancanza di livello qualitativo coerente con l’esigenza manifestata</w:t>
            </w:r>
          </w:p>
          <w:p w14:paraId="4E2B9EB6" w14:textId="77777777" w:rsidR="006E51DB" w:rsidRDefault="006E51DB" w:rsidP="006E51DB"/>
          <w:p w14:paraId="7A7497DC" w14:textId="77777777" w:rsidR="006374A8" w:rsidRDefault="006E51DB" w:rsidP="006E51DB">
            <w:r>
              <w:t>Location dell’affidatario distante dal centro di interessi</w:t>
            </w:r>
          </w:p>
        </w:tc>
        <w:tc>
          <w:tcPr>
            <w:tcW w:w="1843" w:type="dxa"/>
            <w:vMerge w:val="restart"/>
          </w:tcPr>
          <w:p w14:paraId="65F2DAC4" w14:textId="77777777" w:rsidR="006374A8" w:rsidRPr="006E51DB" w:rsidRDefault="00F1171E" w:rsidP="006E51DB">
            <w:pPr>
              <w:jc w:val="center"/>
              <w:rPr>
                <w:b/>
              </w:rPr>
            </w:pPr>
            <w:r>
              <w:rPr>
                <w:b/>
              </w:rPr>
              <w:t>1,34</w:t>
            </w:r>
          </w:p>
        </w:tc>
        <w:tc>
          <w:tcPr>
            <w:tcW w:w="5670" w:type="dxa"/>
            <w:vMerge w:val="restart"/>
          </w:tcPr>
          <w:p w14:paraId="30BF772F" w14:textId="77777777" w:rsidR="006E51DB" w:rsidRDefault="00F1171E" w:rsidP="00F1171E">
            <w:pPr>
              <w:pStyle w:val="Paragrafoelenco"/>
              <w:ind w:left="28"/>
            </w:pPr>
            <w:r w:rsidRPr="00F1171E">
              <w:t>Richiesta di almeno 3 preventivi sulla base di una descrizione dettagliata del servizio, inviata ad almeno 3 fornitori diversi in concorrenza. I nominativi dei potenziali fornitori possono essere segnalati da tutti i Consiglieri ai quali viene preventivamente sottoposta la necessità di acquisire beni o servizi o forniture. I Consiglieri si astengono dal segnalare se stessi o parenti entro il secondo grado di parentela o nominativi in qualsiasi modo riconducibili, anche indirettamente, alla propria attività o al proprio interesse.</w:t>
            </w:r>
          </w:p>
          <w:p w14:paraId="3C4C01B8" w14:textId="77777777" w:rsidR="00F1171E" w:rsidRDefault="00F1171E" w:rsidP="00F1171E">
            <w:pPr>
              <w:pStyle w:val="Paragrafoelenco"/>
              <w:ind w:left="28"/>
            </w:pPr>
            <w:r>
              <w:t>La valutazione delle offerte viene effettuata da Presidente, Segretario e Tesoriere, valutati i seguenti parametri:</w:t>
            </w:r>
          </w:p>
          <w:p w14:paraId="4AEAB9CC" w14:textId="77777777" w:rsidR="00F1171E" w:rsidRDefault="00F1171E" w:rsidP="00F1171E">
            <w:pPr>
              <w:pStyle w:val="Paragrafoelenco"/>
              <w:ind w:left="28"/>
            </w:pPr>
            <w:r>
              <w:t>a) Verifica dei requisiti del fornitore, ivi compresi i requisiti di idoneità tecnico-professionale di cui al D.Lgs. 81/08 ove applicabili;</w:t>
            </w:r>
          </w:p>
          <w:p w14:paraId="29E6ABAA" w14:textId="77777777" w:rsidR="00F1171E" w:rsidRDefault="00F1171E" w:rsidP="00F1171E">
            <w:pPr>
              <w:pStyle w:val="Paragrafoelenco"/>
              <w:ind w:left="28"/>
            </w:pPr>
            <w:r>
              <w:lastRenderedPageBreak/>
              <w:t>b) Verifica della rispondenza della fornitura, ove si tratti di beni o servizi, alle esigenze della richiesta;</w:t>
            </w:r>
          </w:p>
          <w:p w14:paraId="11546975" w14:textId="77777777" w:rsidR="00F1171E" w:rsidRDefault="00F1171E" w:rsidP="00F1171E">
            <w:pPr>
              <w:pStyle w:val="Paragrafoelenco"/>
              <w:ind w:left="28"/>
            </w:pPr>
            <w:r>
              <w:t>c) Verifica della congruità delle offerte ed esclusione preliminare delle offerte eventualmente anomale per tipologia, per eccessiva distanza dell’affidatario dal centro di interessi, per eccessivo ribasso, per assenza di condizioni contrattuali chiare;</w:t>
            </w:r>
          </w:p>
          <w:p w14:paraId="6E5E7907" w14:textId="77777777" w:rsidR="00F1171E" w:rsidRPr="00F1171E" w:rsidRDefault="00F1171E" w:rsidP="00F1171E">
            <w:pPr>
              <w:pStyle w:val="Paragrafoelenco"/>
              <w:ind w:left="28"/>
            </w:pPr>
            <w:r>
              <w:t>d) Selezione definitiva di 3 preventivi da sottoporre al Consiglio per la scelta definitiva del fornitore.</w:t>
            </w:r>
          </w:p>
        </w:tc>
      </w:tr>
      <w:tr w:rsidR="006374A8" w14:paraId="63E339B5" w14:textId="77777777" w:rsidTr="00B745E7">
        <w:trPr>
          <w:trHeight w:val="75"/>
        </w:trPr>
        <w:tc>
          <w:tcPr>
            <w:tcW w:w="3681" w:type="dxa"/>
            <w:shd w:val="clear" w:color="auto" w:fill="F2F2F2" w:themeFill="background1" w:themeFillShade="F2"/>
          </w:tcPr>
          <w:p w14:paraId="3417C7ED" w14:textId="77777777" w:rsidR="006374A8" w:rsidRDefault="006374A8">
            <w:r>
              <w:t>Individuazione dello strumento/istituto per l’affidamento</w:t>
            </w:r>
          </w:p>
        </w:tc>
        <w:tc>
          <w:tcPr>
            <w:tcW w:w="3402" w:type="dxa"/>
            <w:vMerge/>
          </w:tcPr>
          <w:p w14:paraId="0F5DA977" w14:textId="77777777" w:rsidR="006374A8" w:rsidRDefault="006374A8"/>
        </w:tc>
        <w:tc>
          <w:tcPr>
            <w:tcW w:w="1843" w:type="dxa"/>
            <w:vMerge/>
          </w:tcPr>
          <w:p w14:paraId="173AEFF5" w14:textId="77777777" w:rsidR="006374A8" w:rsidRDefault="006374A8"/>
        </w:tc>
        <w:tc>
          <w:tcPr>
            <w:tcW w:w="5670" w:type="dxa"/>
            <w:vMerge/>
          </w:tcPr>
          <w:p w14:paraId="4B14468C" w14:textId="77777777" w:rsidR="006374A8" w:rsidRDefault="006374A8" w:rsidP="00F1171E">
            <w:pPr>
              <w:ind w:left="28"/>
            </w:pPr>
          </w:p>
        </w:tc>
      </w:tr>
      <w:tr w:rsidR="006374A8" w14:paraId="1476CBF3" w14:textId="77777777" w:rsidTr="00B745E7">
        <w:trPr>
          <w:trHeight w:val="75"/>
        </w:trPr>
        <w:tc>
          <w:tcPr>
            <w:tcW w:w="3681" w:type="dxa"/>
            <w:shd w:val="clear" w:color="auto" w:fill="F2F2F2" w:themeFill="background1" w:themeFillShade="F2"/>
          </w:tcPr>
          <w:p w14:paraId="1F29AE38" w14:textId="77777777" w:rsidR="006374A8" w:rsidRDefault="006374A8">
            <w:r>
              <w:t>Requisiti di qualificazione</w:t>
            </w:r>
          </w:p>
        </w:tc>
        <w:tc>
          <w:tcPr>
            <w:tcW w:w="3402" w:type="dxa"/>
            <w:vMerge/>
          </w:tcPr>
          <w:p w14:paraId="1D0D6F8A" w14:textId="77777777" w:rsidR="006374A8" w:rsidRDefault="006374A8"/>
        </w:tc>
        <w:tc>
          <w:tcPr>
            <w:tcW w:w="1843" w:type="dxa"/>
            <w:vMerge/>
          </w:tcPr>
          <w:p w14:paraId="277CC8C4" w14:textId="77777777" w:rsidR="006374A8" w:rsidRDefault="006374A8"/>
        </w:tc>
        <w:tc>
          <w:tcPr>
            <w:tcW w:w="5670" w:type="dxa"/>
            <w:vMerge/>
          </w:tcPr>
          <w:p w14:paraId="792ED38D" w14:textId="77777777" w:rsidR="006374A8" w:rsidRDefault="006374A8" w:rsidP="00F1171E">
            <w:pPr>
              <w:ind w:left="28"/>
            </w:pPr>
          </w:p>
        </w:tc>
      </w:tr>
      <w:tr w:rsidR="006374A8" w14:paraId="49A19C42" w14:textId="77777777" w:rsidTr="00B745E7">
        <w:trPr>
          <w:trHeight w:val="75"/>
        </w:trPr>
        <w:tc>
          <w:tcPr>
            <w:tcW w:w="3681" w:type="dxa"/>
            <w:shd w:val="clear" w:color="auto" w:fill="F2F2F2" w:themeFill="background1" w:themeFillShade="F2"/>
          </w:tcPr>
          <w:p w14:paraId="2C7AE958" w14:textId="77777777" w:rsidR="006374A8" w:rsidRDefault="006374A8">
            <w:r>
              <w:t>Requisiti di aggiudicazione</w:t>
            </w:r>
          </w:p>
        </w:tc>
        <w:tc>
          <w:tcPr>
            <w:tcW w:w="3402" w:type="dxa"/>
            <w:vMerge/>
          </w:tcPr>
          <w:p w14:paraId="02569410" w14:textId="77777777" w:rsidR="006374A8" w:rsidRDefault="006374A8"/>
        </w:tc>
        <w:tc>
          <w:tcPr>
            <w:tcW w:w="1843" w:type="dxa"/>
            <w:vMerge/>
          </w:tcPr>
          <w:p w14:paraId="4E7ADB0A" w14:textId="77777777" w:rsidR="006374A8" w:rsidRDefault="006374A8"/>
        </w:tc>
        <w:tc>
          <w:tcPr>
            <w:tcW w:w="5670" w:type="dxa"/>
            <w:vMerge/>
          </w:tcPr>
          <w:p w14:paraId="5A31F56F" w14:textId="77777777" w:rsidR="006374A8" w:rsidRDefault="006374A8" w:rsidP="00F1171E">
            <w:pPr>
              <w:ind w:left="28"/>
            </w:pPr>
          </w:p>
        </w:tc>
      </w:tr>
      <w:tr w:rsidR="006374A8" w14:paraId="3A1A2310" w14:textId="77777777" w:rsidTr="00B745E7">
        <w:trPr>
          <w:trHeight w:val="75"/>
        </w:trPr>
        <w:tc>
          <w:tcPr>
            <w:tcW w:w="3681" w:type="dxa"/>
            <w:shd w:val="clear" w:color="auto" w:fill="F2F2F2" w:themeFill="background1" w:themeFillShade="F2"/>
          </w:tcPr>
          <w:p w14:paraId="57F47042" w14:textId="77777777" w:rsidR="006374A8" w:rsidRDefault="006374A8">
            <w:r>
              <w:t>Valutazione delle offerte</w:t>
            </w:r>
          </w:p>
        </w:tc>
        <w:tc>
          <w:tcPr>
            <w:tcW w:w="3402" w:type="dxa"/>
            <w:vMerge/>
          </w:tcPr>
          <w:p w14:paraId="57837D79" w14:textId="77777777" w:rsidR="006374A8" w:rsidRDefault="006374A8"/>
        </w:tc>
        <w:tc>
          <w:tcPr>
            <w:tcW w:w="1843" w:type="dxa"/>
            <w:vMerge/>
          </w:tcPr>
          <w:p w14:paraId="6A718191" w14:textId="77777777" w:rsidR="006374A8" w:rsidRDefault="006374A8"/>
        </w:tc>
        <w:tc>
          <w:tcPr>
            <w:tcW w:w="5670" w:type="dxa"/>
            <w:vMerge/>
          </w:tcPr>
          <w:p w14:paraId="1F84861F" w14:textId="77777777" w:rsidR="006374A8" w:rsidRDefault="006374A8" w:rsidP="00F1171E">
            <w:pPr>
              <w:ind w:left="28"/>
            </w:pPr>
          </w:p>
        </w:tc>
      </w:tr>
      <w:tr w:rsidR="006374A8" w14:paraId="3CDBC89D" w14:textId="77777777" w:rsidTr="00B745E7">
        <w:trPr>
          <w:trHeight w:val="75"/>
        </w:trPr>
        <w:tc>
          <w:tcPr>
            <w:tcW w:w="3681" w:type="dxa"/>
            <w:shd w:val="clear" w:color="auto" w:fill="F2F2F2" w:themeFill="background1" w:themeFillShade="F2"/>
          </w:tcPr>
          <w:p w14:paraId="17BFE173" w14:textId="77777777" w:rsidR="006374A8" w:rsidRDefault="006374A8">
            <w:r>
              <w:t>Verifica dell’eventuali anomalia delle offerte</w:t>
            </w:r>
          </w:p>
        </w:tc>
        <w:tc>
          <w:tcPr>
            <w:tcW w:w="3402" w:type="dxa"/>
            <w:vMerge/>
          </w:tcPr>
          <w:p w14:paraId="3738BAF1" w14:textId="77777777" w:rsidR="006374A8" w:rsidRDefault="006374A8"/>
        </w:tc>
        <w:tc>
          <w:tcPr>
            <w:tcW w:w="1843" w:type="dxa"/>
            <w:vMerge/>
          </w:tcPr>
          <w:p w14:paraId="166871F1" w14:textId="77777777" w:rsidR="006374A8" w:rsidRDefault="006374A8"/>
        </w:tc>
        <w:tc>
          <w:tcPr>
            <w:tcW w:w="5670" w:type="dxa"/>
            <w:vMerge/>
          </w:tcPr>
          <w:p w14:paraId="3FE7DB7B" w14:textId="77777777" w:rsidR="006374A8" w:rsidRDefault="006374A8" w:rsidP="00F1171E">
            <w:pPr>
              <w:ind w:left="28"/>
            </w:pPr>
          </w:p>
        </w:tc>
      </w:tr>
      <w:tr w:rsidR="00965C19" w14:paraId="07F4BB78" w14:textId="77777777" w:rsidTr="00B745E7">
        <w:trPr>
          <w:trHeight w:val="75"/>
        </w:trPr>
        <w:tc>
          <w:tcPr>
            <w:tcW w:w="3681" w:type="dxa"/>
            <w:shd w:val="clear" w:color="auto" w:fill="F2F2F2" w:themeFill="background1" w:themeFillShade="F2"/>
          </w:tcPr>
          <w:p w14:paraId="56ABFB16" w14:textId="77777777" w:rsidR="00965C19" w:rsidRDefault="00965C19">
            <w:r>
              <w:t>Affidamenti diretti</w:t>
            </w:r>
          </w:p>
        </w:tc>
        <w:tc>
          <w:tcPr>
            <w:tcW w:w="3402" w:type="dxa"/>
          </w:tcPr>
          <w:p w14:paraId="1ECC62D8" w14:textId="77777777" w:rsidR="006E51DB" w:rsidRDefault="006E51DB" w:rsidP="006E51DB">
            <w:r>
              <w:t>Mancanza di livello qualitativo coerente con l’esigenza manifestata</w:t>
            </w:r>
          </w:p>
          <w:p w14:paraId="21F8C8DE" w14:textId="77777777" w:rsidR="006E51DB" w:rsidRDefault="006E51DB" w:rsidP="006E51DB"/>
          <w:p w14:paraId="603EC2AA" w14:textId="77777777" w:rsidR="00965C19" w:rsidRDefault="006E51DB" w:rsidP="006E51DB">
            <w:r>
              <w:t>Location dell’affidatario distante dal centro di interessi</w:t>
            </w:r>
          </w:p>
        </w:tc>
        <w:tc>
          <w:tcPr>
            <w:tcW w:w="1843" w:type="dxa"/>
          </w:tcPr>
          <w:p w14:paraId="62BEE1AD" w14:textId="77777777" w:rsidR="00965C19" w:rsidRPr="006E51DB" w:rsidRDefault="006A5B19" w:rsidP="006E51DB">
            <w:pPr>
              <w:jc w:val="center"/>
              <w:rPr>
                <w:b/>
              </w:rPr>
            </w:pPr>
            <w:r>
              <w:rPr>
                <w:b/>
              </w:rPr>
              <w:t>3</w:t>
            </w:r>
          </w:p>
        </w:tc>
        <w:tc>
          <w:tcPr>
            <w:tcW w:w="5670" w:type="dxa"/>
          </w:tcPr>
          <w:p w14:paraId="4FE49598" w14:textId="77777777" w:rsidR="00F1171E" w:rsidRDefault="00F1171E" w:rsidP="00F1171E">
            <w:pPr>
              <w:pStyle w:val="Paragrafoelenco"/>
              <w:ind w:left="28"/>
            </w:pPr>
            <w:r>
              <w:t>Applicazione dell’art. 125 del Codice Appalti (D.Lgs. 163/2006)</w:t>
            </w:r>
          </w:p>
          <w:p w14:paraId="0F4BC9B4" w14:textId="77777777" w:rsidR="00F1171E" w:rsidRDefault="00F1171E" w:rsidP="00F1171E">
            <w:pPr>
              <w:pStyle w:val="Paragrafoelenco"/>
              <w:ind w:left="28"/>
            </w:pPr>
            <w:r>
              <w:t>Per lavori urgenti che attengono a:</w:t>
            </w:r>
          </w:p>
          <w:p w14:paraId="6985BDED" w14:textId="77777777" w:rsidR="00F1171E" w:rsidRDefault="00F1171E" w:rsidP="00F1171E">
            <w:pPr>
              <w:pStyle w:val="Paragrafoelenco"/>
              <w:ind w:left="28"/>
            </w:pPr>
            <w:r>
              <w:t>- Manutenzione o riparazione di opere o impianti quando l’esigenza è rapportata ad eventi imprevedibili e non sia possibile esperire la procedura prevista per l’affidamento di servizi e forniture sopra descritta.</w:t>
            </w:r>
          </w:p>
          <w:p w14:paraId="4AD42E80" w14:textId="77777777" w:rsidR="00F1171E" w:rsidRDefault="00F1171E" w:rsidP="00F1171E">
            <w:pPr>
              <w:pStyle w:val="Paragrafoelenco"/>
              <w:ind w:left="28"/>
            </w:pPr>
            <w:r>
              <w:t>- Manutenzione di opere o impianti e interventi di sicurezza non programmabili;</w:t>
            </w:r>
          </w:p>
          <w:p w14:paraId="4908B293" w14:textId="77777777" w:rsidR="00F1171E" w:rsidRDefault="00F1171E" w:rsidP="00F1171E">
            <w:pPr>
              <w:pStyle w:val="Paragrafoelenco"/>
              <w:ind w:left="28"/>
            </w:pPr>
            <w:r>
              <w:t>- Lavori che non possono essere differiti</w:t>
            </w:r>
          </w:p>
          <w:p w14:paraId="6DB79594" w14:textId="77777777" w:rsidR="00F1171E" w:rsidRDefault="00F1171E" w:rsidP="00F1171E">
            <w:pPr>
              <w:pStyle w:val="Paragrafoelenco"/>
              <w:ind w:left="28"/>
            </w:pPr>
            <w:r>
              <w:t>Il Presidente, il Segretario ed il Tesoriere a maggioranza procedono all’affidamento diretto, comunque per importo non superiore a 10.000 euro, ferma restando la verifica di idoneità tecnico professionale del fornitore di cui al D.Lgs. 81/08 e la congruità dell’offerta.</w:t>
            </w:r>
          </w:p>
          <w:p w14:paraId="36F24959" w14:textId="77777777" w:rsidR="006E51DB" w:rsidRDefault="00F1171E" w:rsidP="00F1171E">
            <w:pPr>
              <w:pStyle w:val="Paragrafoelenco"/>
              <w:ind w:left="28"/>
            </w:pPr>
            <w:r>
              <w:t>La scelta dovrà comunque essere ratificata dal Consiglio nella prima seduta utile, successiva all’affidamento diretto.</w:t>
            </w:r>
          </w:p>
        </w:tc>
      </w:tr>
      <w:tr w:rsidR="00EF4B87" w14:paraId="58978684" w14:textId="77777777" w:rsidTr="008D4922">
        <w:trPr>
          <w:trHeight w:val="51"/>
        </w:trPr>
        <w:tc>
          <w:tcPr>
            <w:tcW w:w="3681" w:type="dxa"/>
            <w:shd w:val="clear" w:color="auto" w:fill="C5E0B3" w:themeFill="accent6" w:themeFillTint="66"/>
          </w:tcPr>
          <w:p w14:paraId="52C89FCB" w14:textId="77777777" w:rsidR="000C3946" w:rsidRDefault="000C3946">
            <w:pPr>
              <w:rPr>
                <w:b/>
                <w:smallCaps/>
              </w:rPr>
            </w:pPr>
          </w:p>
          <w:p w14:paraId="75A7073C" w14:textId="77777777" w:rsidR="00EF4B87" w:rsidRPr="000C3946" w:rsidRDefault="00EF4B87">
            <w:pPr>
              <w:rPr>
                <w:b/>
                <w:smallCaps/>
              </w:rPr>
            </w:pPr>
            <w:r w:rsidRPr="000C3946">
              <w:rPr>
                <w:b/>
                <w:smallCaps/>
              </w:rPr>
              <w:t>Area affidamenti incarichi esterni</w:t>
            </w:r>
            <w:r w:rsidR="003C6629">
              <w:rPr>
                <w:b/>
                <w:smallCaps/>
              </w:rPr>
              <w:t xml:space="preserve"> (consulenza servizi professionali)</w:t>
            </w:r>
          </w:p>
        </w:tc>
        <w:tc>
          <w:tcPr>
            <w:tcW w:w="10915" w:type="dxa"/>
            <w:gridSpan w:val="3"/>
            <w:shd w:val="clear" w:color="auto" w:fill="C5E0B3" w:themeFill="accent6" w:themeFillTint="66"/>
          </w:tcPr>
          <w:p w14:paraId="23CD767E" w14:textId="77777777" w:rsidR="00EF4B87" w:rsidRDefault="00EF4B87" w:rsidP="00EF4B87"/>
          <w:p w14:paraId="1C47969E" w14:textId="77777777" w:rsidR="00EF4B87" w:rsidRDefault="00EF4B87" w:rsidP="00F100C5"/>
          <w:p w14:paraId="0169F2E2" w14:textId="77777777" w:rsidR="00EF4B87" w:rsidRDefault="00EF4B87" w:rsidP="00F100C5"/>
        </w:tc>
      </w:tr>
      <w:tr w:rsidR="00EF4B87" w14:paraId="0BAB3A4C" w14:textId="77777777" w:rsidTr="00B745E7">
        <w:trPr>
          <w:trHeight w:val="50"/>
        </w:trPr>
        <w:tc>
          <w:tcPr>
            <w:tcW w:w="3681" w:type="dxa"/>
            <w:shd w:val="clear" w:color="auto" w:fill="F2F2F2" w:themeFill="background1" w:themeFillShade="F2"/>
          </w:tcPr>
          <w:p w14:paraId="48105B8F" w14:textId="77777777" w:rsidR="00EF4B87" w:rsidRDefault="00EF4B87" w:rsidP="00B112DB">
            <w:r>
              <w:t>Identificazione del soggetto/ufficio richiedente</w:t>
            </w:r>
          </w:p>
        </w:tc>
        <w:tc>
          <w:tcPr>
            <w:tcW w:w="3402" w:type="dxa"/>
            <w:vMerge w:val="restart"/>
          </w:tcPr>
          <w:p w14:paraId="36954794" w14:textId="77777777" w:rsidR="003C6629" w:rsidRDefault="003C6629" w:rsidP="003C6629">
            <w:r>
              <w:t>Motivazione generica circa la necessità del consulente o collaboratore esterno</w:t>
            </w:r>
          </w:p>
          <w:p w14:paraId="17E7CF50" w14:textId="77777777" w:rsidR="003C6629" w:rsidRDefault="003C6629" w:rsidP="003C6629"/>
          <w:p w14:paraId="3308DBAC" w14:textId="77777777" w:rsidR="00EF4B87" w:rsidRDefault="003C6629" w:rsidP="003C6629">
            <w:r>
              <w:t xml:space="preserve">Requisiti generici ed insufficienza di criteri oggettivi per verificare che il </w:t>
            </w:r>
            <w:r>
              <w:lastRenderedPageBreak/>
              <w:t>consulente o collaboratore sia realmente in possesso delle competenze necessarie</w:t>
            </w:r>
          </w:p>
        </w:tc>
        <w:tc>
          <w:tcPr>
            <w:tcW w:w="1843" w:type="dxa"/>
            <w:vMerge w:val="restart"/>
          </w:tcPr>
          <w:p w14:paraId="75E02462" w14:textId="77777777" w:rsidR="00EF4B87" w:rsidRPr="00825C32" w:rsidRDefault="00F1171E" w:rsidP="003C6629">
            <w:pPr>
              <w:jc w:val="center"/>
              <w:rPr>
                <w:b/>
              </w:rPr>
            </w:pPr>
            <w:r>
              <w:rPr>
                <w:b/>
              </w:rPr>
              <w:lastRenderedPageBreak/>
              <w:t>2</w:t>
            </w:r>
          </w:p>
        </w:tc>
        <w:tc>
          <w:tcPr>
            <w:tcW w:w="5670" w:type="dxa"/>
            <w:vMerge w:val="restart"/>
          </w:tcPr>
          <w:p w14:paraId="32E0A7B5" w14:textId="77777777" w:rsidR="00F1171E" w:rsidRDefault="00F1171E" w:rsidP="00F1171E">
            <w:pPr>
              <w:pStyle w:val="Paragrafoelenco"/>
              <w:ind w:left="28"/>
            </w:pPr>
            <w:r>
              <w:t>Gli incarichi esterni di consulenza per servizi professionali devono essere approvati dal Consiglio dell’Ordine.</w:t>
            </w:r>
          </w:p>
          <w:p w14:paraId="6F8E9801" w14:textId="77777777" w:rsidR="00F1171E" w:rsidRDefault="00F1171E" w:rsidP="00F1171E">
            <w:pPr>
              <w:pStyle w:val="Paragrafoelenco"/>
              <w:ind w:left="28"/>
            </w:pPr>
            <w:r>
              <w:t>E’ necessario in ogni caso richiedere almeno 3 offerte a professionisti diversi, cui provvede la Presidenza, il Segretario ed il Tesoriere, che rispondano almeno ai seguenti requisiti:</w:t>
            </w:r>
          </w:p>
          <w:p w14:paraId="4C6A429E" w14:textId="77777777" w:rsidR="00F1171E" w:rsidRDefault="00F1171E" w:rsidP="00F1171E">
            <w:pPr>
              <w:pStyle w:val="Paragrafoelenco"/>
              <w:ind w:left="170" w:hanging="170"/>
            </w:pPr>
            <w:r>
              <w:lastRenderedPageBreak/>
              <w:t>- Iscrizione al relativo Ordine professionale</w:t>
            </w:r>
          </w:p>
          <w:p w14:paraId="238A82BD" w14:textId="77777777" w:rsidR="00F1171E" w:rsidRDefault="00F1171E" w:rsidP="00F1171E">
            <w:pPr>
              <w:pStyle w:val="Paragrafoelenco"/>
              <w:ind w:left="170" w:hanging="170"/>
            </w:pPr>
            <w:r>
              <w:t>- Curriculum corrispondente alle esigenze di servizio per formazione ed esperienza;</w:t>
            </w:r>
          </w:p>
          <w:p w14:paraId="13C65040" w14:textId="77777777" w:rsidR="00F1171E" w:rsidRDefault="00F1171E" w:rsidP="00F1171E">
            <w:pPr>
              <w:pStyle w:val="Paragrafoelenco"/>
              <w:ind w:left="170" w:hanging="170"/>
            </w:pPr>
            <w:r>
              <w:t>- Distanza della sede professionale compatibile con il centro di interesse, in modo che non comporti costi di trasferta che si discostino in modo anomalo dalla media delle offerte ricevute.</w:t>
            </w:r>
          </w:p>
          <w:p w14:paraId="3A015495" w14:textId="77777777" w:rsidR="00F1171E" w:rsidRDefault="00F1171E" w:rsidP="00F1171E">
            <w:pPr>
              <w:pStyle w:val="Paragrafoelenco"/>
              <w:ind w:left="170" w:hanging="170"/>
            </w:pPr>
            <w:r>
              <w:t>- Offerta congrua, senza anomalie evidenti;</w:t>
            </w:r>
          </w:p>
          <w:p w14:paraId="6016ADD8" w14:textId="77777777" w:rsidR="00F1171E" w:rsidRDefault="00F1171E" w:rsidP="00F1171E">
            <w:pPr>
              <w:pStyle w:val="Paragrafoelenco"/>
              <w:ind w:left="170" w:hanging="170"/>
            </w:pPr>
            <w:r>
              <w:t>- Nessun vincolo di parentela entro il secondo grado né riconducibilità nota, anche indiretta, ad interessi personali o comunque interessi noti afferenti all’attività dei Consiglieri o loro parenti entro il secondo grado.</w:t>
            </w:r>
          </w:p>
          <w:p w14:paraId="61182FE0" w14:textId="77777777" w:rsidR="00F1171E" w:rsidRDefault="00F1171E" w:rsidP="00F1171E">
            <w:pPr>
              <w:pStyle w:val="Paragrafoelenco"/>
              <w:ind w:left="28"/>
            </w:pPr>
            <w:r>
              <w:t>I preventivi ed i curriculum selezionati (almeno 3) devono essere sottoposti al Consiglio che potrà compiere la propria scelta convinto della specificità dei requisiti e delle competenze possedute dal Professionista.</w:t>
            </w:r>
          </w:p>
          <w:p w14:paraId="77F1A09A" w14:textId="0C13C7D4" w:rsidR="003C6629" w:rsidRDefault="0033540A" w:rsidP="00F1171E">
            <w:pPr>
              <w:pStyle w:val="Paragrafoelenco"/>
              <w:ind w:left="28"/>
            </w:pPr>
            <w:r w:rsidRPr="0033540A">
              <w:t>L’incarico professionale sarà soggetto a tacito rinnovo salvo esplicita revoca da parte del Consiglio dell’Ordine</w:t>
            </w:r>
            <w:r>
              <w:t>.</w:t>
            </w:r>
            <w:bookmarkStart w:id="0" w:name="_GoBack"/>
            <w:bookmarkEnd w:id="0"/>
          </w:p>
        </w:tc>
      </w:tr>
      <w:tr w:rsidR="00EF4B87" w14:paraId="345D69E2" w14:textId="77777777" w:rsidTr="00B745E7">
        <w:trPr>
          <w:trHeight w:val="50"/>
        </w:trPr>
        <w:tc>
          <w:tcPr>
            <w:tcW w:w="3681" w:type="dxa"/>
            <w:shd w:val="clear" w:color="auto" w:fill="F2F2F2" w:themeFill="background1" w:themeFillShade="F2"/>
          </w:tcPr>
          <w:p w14:paraId="42E81CF2" w14:textId="77777777" w:rsidR="00EF4B87" w:rsidRDefault="00EF4B87">
            <w:r>
              <w:t>Definizione dell’oggetto dell’affidamento</w:t>
            </w:r>
          </w:p>
        </w:tc>
        <w:tc>
          <w:tcPr>
            <w:tcW w:w="3402" w:type="dxa"/>
            <w:vMerge/>
          </w:tcPr>
          <w:p w14:paraId="5DAB579D" w14:textId="77777777" w:rsidR="00EF4B87" w:rsidRDefault="00EF4B87"/>
        </w:tc>
        <w:tc>
          <w:tcPr>
            <w:tcW w:w="1843" w:type="dxa"/>
            <w:vMerge/>
          </w:tcPr>
          <w:p w14:paraId="114D0ADD" w14:textId="77777777" w:rsidR="00EF4B87" w:rsidRDefault="00EF4B87"/>
        </w:tc>
        <w:tc>
          <w:tcPr>
            <w:tcW w:w="5670" w:type="dxa"/>
            <w:vMerge/>
          </w:tcPr>
          <w:p w14:paraId="53A6782E" w14:textId="77777777" w:rsidR="00EF4B87" w:rsidRDefault="00EF4B87"/>
        </w:tc>
      </w:tr>
      <w:tr w:rsidR="00EF4B87" w14:paraId="6980794A" w14:textId="77777777" w:rsidTr="00B745E7">
        <w:trPr>
          <w:trHeight w:val="50"/>
        </w:trPr>
        <w:tc>
          <w:tcPr>
            <w:tcW w:w="3681" w:type="dxa"/>
            <w:shd w:val="clear" w:color="auto" w:fill="F2F2F2" w:themeFill="background1" w:themeFillShade="F2"/>
          </w:tcPr>
          <w:p w14:paraId="7EB3CF86" w14:textId="77777777" w:rsidR="00EF4B87" w:rsidRDefault="00EF4B87">
            <w:r>
              <w:t>Individuazione dei requisiti per l’affidamento</w:t>
            </w:r>
          </w:p>
        </w:tc>
        <w:tc>
          <w:tcPr>
            <w:tcW w:w="3402" w:type="dxa"/>
            <w:vMerge/>
          </w:tcPr>
          <w:p w14:paraId="532D525F" w14:textId="77777777" w:rsidR="00EF4B87" w:rsidRDefault="00EF4B87"/>
        </w:tc>
        <w:tc>
          <w:tcPr>
            <w:tcW w:w="1843" w:type="dxa"/>
            <w:vMerge/>
          </w:tcPr>
          <w:p w14:paraId="0CBDE8BF" w14:textId="77777777" w:rsidR="00EF4B87" w:rsidRDefault="00EF4B87"/>
        </w:tc>
        <w:tc>
          <w:tcPr>
            <w:tcW w:w="5670" w:type="dxa"/>
            <w:vMerge/>
          </w:tcPr>
          <w:p w14:paraId="6C969FE1" w14:textId="77777777" w:rsidR="00EF4B87" w:rsidRDefault="00EF4B87"/>
        </w:tc>
      </w:tr>
      <w:tr w:rsidR="00EF4B87" w14:paraId="73F9657F" w14:textId="77777777" w:rsidTr="00B745E7">
        <w:trPr>
          <w:trHeight w:val="50"/>
        </w:trPr>
        <w:tc>
          <w:tcPr>
            <w:tcW w:w="3681" w:type="dxa"/>
            <w:shd w:val="clear" w:color="auto" w:fill="F2F2F2" w:themeFill="background1" w:themeFillShade="F2"/>
          </w:tcPr>
          <w:p w14:paraId="00BA0426" w14:textId="77777777" w:rsidR="00EF4B87" w:rsidRDefault="00EF4B87">
            <w:r>
              <w:lastRenderedPageBreak/>
              <w:t>Valutazione dei requisiti per l’affidamento</w:t>
            </w:r>
          </w:p>
        </w:tc>
        <w:tc>
          <w:tcPr>
            <w:tcW w:w="3402" w:type="dxa"/>
            <w:vMerge/>
          </w:tcPr>
          <w:p w14:paraId="7B3DC75F" w14:textId="77777777" w:rsidR="00EF4B87" w:rsidRDefault="00EF4B87"/>
        </w:tc>
        <w:tc>
          <w:tcPr>
            <w:tcW w:w="1843" w:type="dxa"/>
            <w:vMerge/>
          </w:tcPr>
          <w:p w14:paraId="0C166FBE" w14:textId="77777777" w:rsidR="00EF4B87" w:rsidRDefault="00EF4B87"/>
        </w:tc>
        <w:tc>
          <w:tcPr>
            <w:tcW w:w="5670" w:type="dxa"/>
            <w:vMerge/>
          </w:tcPr>
          <w:p w14:paraId="53C97E26" w14:textId="77777777" w:rsidR="00EF4B87" w:rsidRDefault="00EF4B87"/>
        </w:tc>
      </w:tr>
      <w:tr w:rsidR="00EF4B87" w14:paraId="2B6F492B" w14:textId="77777777" w:rsidTr="00B745E7">
        <w:trPr>
          <w:trHeight w:val="50"/>
        </w:trPr>
        <w:tc>
          <w:tcPr>
            <w:tcW w:w="3681" w:type="dxa"/>
            <w:shd w:val="clear" w:color="auto" w:fill="F2F2F2" w:themeFill="background1" w:themeFillShade="F2"/>
          </w:tcPr>
          <w:p w14:paraId="41B7B658" w14:textId="77777777" w:rsidR="00EF4B87" w:rsidRDefault="00EF4B87">
            <w:r>
              <w:t>Conferimento dell’incarico</w:t>
            </w:r>
          </w:p>
        </w:tc>
        <w:tc>
          <w:tcPr>
            <w:tcW w:w="3402" w:type="dxa"/>
            <w:vMerge/>
          </w:tcPr>
          <w:p w14:paraId="3FDB1587" w14:textId="77777777" w:rsidR="00EF4B87" w:rsidRDefault="00EF4B87"/>
        </w:tc>
        <w:tc>
          <w:tcPr>
            <w:tcW w:w="1843" w:type="dxa"/>
            <w:vMerge/>
          </w:tcPr>
          <w:p w14:paraId="52D5A16D" w14:textId="77777777" w:rsidR="00EF4B87" w:rsidRDefault="00EF4B87"/>
        </w:tc>
        <w:tc>
          <w:tcPr>
            <w:tcW w:w="5670" w:type="dxa"/>
            <w:vMerge/>
          </w:tcPr>
          <w:p w14:paraId="689EB414" w14:textId="77777777" w:rsidR="00EF4B87" w:rsidRDefault="00EF4B87"/>
        </w:tc>
      </w:tr>
      <w:tr w:rsidR="003C6629" w14:paraId="5347463D" w14:textId="77777777" w:rsidTr="008B4A06">
        <w:trPr>
          <w:trHeight w:val="51"/>
        </w:trPr>
        <w:tc>
          <w:tcPr>
            <w:tcW w:w="3681" w:type="dxa"/>
            <w:shd w:val="clear" w:color="auto" w:fill="FFFF00"/>
          </w:tcPr>
          <w:p w14:paraId="6756D1A8" w14:textId="77777777" w:rsidR="003C6629" w:rsidRDefault="003C6629" w:rsidP="003C6629"/>
          <w:p w14:paraId="08B60E79" w14:textId="77777777" w:rsidR="003C6629" w:rsidRPr="000C3946" w:rsidRDefault="003C6629" w:rsidP="003C6629">
            <w:pPr>
              <w:rPr>
                <w:b/>
                <w:smallCaps/>
              </w:rPr>
            </w:pPr>
            <w:r w:rsidRPr="000C3946">
              <w:rPr>
                <w:b/>
                <w:smallCaps/>
              </w:rPr>
              <w:t>Area provvedimenti</w:t>
            </w:r>
          </w:p>
          <w:p w14:paraId="4B55F5C6" w14:textId="77777777" w:rsidR="003C6629" w:rsidRDefault="003C6629" w:rsidP="003C6629"/>
        </w:tc>
        <w:tc>
          <w:tcPr>
            <w:tcW w:w="3402" w:type="dxa"/>
            <w:shd w:val="clear" w:color="auto" w:fill="FFFF00"/>
          </w:tcPr>
          <w:p w14:paraId="3BC28126" w14:textId="77777777" w:rsidR="003C6629" w:rsidRDefault="003C6629" w:rsidP="003C6629"/>
        </w:tc>
        <w:tc>
          <w:tcPr>
            <w:tcW w:w="1843" w:type="dxa"/>
            <w:shd w:val="clear" w:color="auto" w:fill="FFFF00"/>
          </w:tcPr>
          <w:p w14:paraId="2FE16EF0" w14:textId="77777777" w:rsidR="003C6629" w:rsidRDefault="003C6629" w:rsidP="003C6629"/>
        </w:tc>
        <w:tc>
          <w:tcPr>
            <w:tcW w:w="5670" w:type="dxa"/>
            <w:shd w:val="clear" w:color="auto" w:fill="FFFF00"/>
          </w:tcPr>
          <w:p w14:paraId="7669C8BF" w14:textId="77777777" w:rsidR="003C6629" w:rsidRDefault="003C6629" w:rsidP="003C6629"/>
        </w:tc>
      </w:tr>
      <w:tr w:rsidR="008021E8" w14:paraId="4CA0BFE1" w14:textId="77777777" w:rsidTr="00423A6C">
        <w:trPr>
          <w:trHeight w:val="675"/>
        </w:trPr>
        <w:tc>
          <w:tcPr>
            <w:tcW w:w="3681" w:type="dxa"/>
            <w:shd w:val="clear" w:color="auto" w:fill="F2F2F2" w:themeFill="background1" w:themeFillShade="F2"/>
          </w:tcPr>
          <w:p w14:paraId="705E7FED" w14:textId="77777777" w:rsidR="008021E8" w:rsidRDefault="008021E8" w:rsidP="003C6629">
            <w:r>
              <w:t>Provvedimenti amministrativi</w:t>
            </w:r>
          </w:p>
        </w:tc>
        <w:tc>
          <w:tcPr>
            <w:tcW w:w="3402" w:type="dxa"/>
          </w:tcPr>
          <w:p w14:paraId="745EAB45" w14:textId="77777777" w:rsidR="008021E8" w:rsidRPr="00E36B2E" w:rsidRDefault="008021E8" w:rsidP="003C6629">
            <w:r w:rsidRPr="008021E8">
              <w:t>Inappropriata valutazione sulla richiesta di iscrizione</w:t>
            </w:r>
            <w:r>
              <w:t xml:space="preserve"> all’Albo</w:t>
            </w:r>
          </w:p>
        </w:tc>
        <w:tc>
          <w:tcPr>
            <w:tcW w:w="1843" w:type="dxa"/>
          </w:tcPr>
          <w:p w14:paraId="6EDD5FCA" w14:textId="77777777" w:rsidR="008021E8" w:rsidRPr="00825C32" w:rsidRDefault="00D42B49" w:rsidP="00423A6C">
            <w:pPr>
              <w:jc w:val="center"/>
              <w:rPr>
                <w:b/>
              </w:rPr>
            </w:pPr>
            <w:r>
              <w:rPr>
                <w:b/>
              </w:rPr>
              <w:t>2</w:t>
            </w:r>
          </w:p>
        </w:tc>
        <w:tc>
          <w:tcPr>
            <w:tcW w:w="5670" w:type="dxa"/>
          </w:tcPr>
          <w:p w14:paraId="3DB0AD9D" w14:textId="77777777" w:rsidR="00F1171E" w:rsidRDefault="00F1171E" w:rsidP="00F1171E">
            <w:r>
              <w:t>Seguire la procedura per la richiesta di iscrizione all’</w:t>
            </w:r>
            <w:r w:rsidR="009550B3">
              <w:t>Albo</w:t>
            </w:r>
            <w:r>
              <w:t>.</w:t>
            </w:r>
          </w:p>
          <w:p w14:paraId="3E0122CC" w14:textId="77777777" w:rsidR="008021E8" w:rsidRDefault="00F1171E" w:rsidP="00F1171E">
            <w:r>
              <w:t>Approvazione collegiale del Consiglio su proposta del Consigliere incaricato che documenta i requisiti del candidato in sede di Consiglio.</w:t>
            </w:r>
          </w:p>
        </w:tc>
      </w:tr>
      <w:tr w:rsidR="008021E8" w14:paraId="35607FB3" w14:textId="77777777" w:rsidTr="00423A6C">
        <w:trPr>
          <w:trHeight w:val="675"/>
        </w:trPr>
        <w:tc>
          <w:tcPr>
            <w:tcW w:w="3681" w:type="dxa"/>
            <w:shd w:val="clear" w:color="auto" w:fill="F2F2F2" w:themeFill="background1" w:themeFillShade="F2"/>
          </w:tcPr>
          <w:p w14:paraId="4DEDF76D" w14:textId="77777777" w:rsidR="008021E8" w:rsidRDefault="008021E8" w:rsidP="003C6629">
            <w:r>
              <w:t>Provvedimenti amministrativi</w:t>
            </w:r>
          </w:p>
        </w:tc>
        <w:tc>
          <w:tcPr>
            <w:tcW w:w="3402" w:type="dxa"/>
          </w:tcPr>
          <w:p w14:paraId="3D39DE86" w14:textId="77777777" w:rsidR="008021E8" w:rsidRPr="008021E8" w:rsidRDefault="008021E8" w:rsidP="003C6629">
            <w:r w:rsidRPr="008021E8">
              <w:t xml:space="preserve">Omessa/ritardata cancellazione </w:t>
            </w:r>
            <w:r>
              <w:t xml:space="preserve">dall’Albo </w:t>
            </w:r>
            <w:r w:rsidRPr="008021E8">
              <w:t>in presenza di motivi necessari</w:t>
            </w:r>
          </w:p>
        </w:tc>
        <w:tc>
          <w:tcPr>
            <w:tcW w:w="1843" w:type="dxa"/>
          </w:tcPr>
          <w:p w14:paraId="701A90EB" w14:textId="77777777" w:rsidR="008021E8" w:rsidRPr="00825C32" w:rsidRDefault="00D42B49" w:rsidP="00423A6C">
            <w:pPr>
              <w:jc w:val="center"/>
              <w:rPr>
                <w:b/>
              </w:rPr>
            </w:pPr>
            <w:r>
              <w:rPr>
                <w:b/>
              </w:rPr>
              <w:t>2</w:t>
            </w:r>
          </w:p>
        </w:tc>
        <w:tc>
          <w:tcPr>
            <w:tcW w:w="5670" w:type="dxa"/>
          </w:tcPr>
          <w:p w14:paraId="46368A32" w14:textId="77777777" w:rsidR="008021E8" w:rsidRDefault="00F1171E" w:rsidP="00E36B2E">
            <w:r w:rsidRPr="00F1171E">
              <w:t>Seguire le procedure di cancellazione entro i tempi stabiliti ove ricorrano condizioni necessarie segnalate dal Consiglio di Disciplina con proprio Atto e approvate dal Consiglio dell’Ordine.</w:t>
            </w:r>
          </w:p>
        </w:tc>
      </w:tr>
      <w:tr w:rsidR="00F1171E" w14:paraId="7E0DCE14" w14:textId="77777777" w:rsidTr="00177685">
        <w:trPr>
          <w:trHeight w:val="675"/>
        </w:trPr>
        <w:tc>
          <w:tcPr>
            <w:tcW w:w="3681" w:type="dxa"/>
            <w:shd w:val="clear" w:color="auto" w:fill="F2F2F2" w:themeFill="background1" w:themeFillShade="F2"/>
          </w:tcPr>
          <w:p w14:paraId="520FC035" w14:textId="77777777" w:rsidR="00F1171E" w:rsidRDefault="00F1171E" w:rsidP="00177685">
            <w:r>
              <w:t>Provvedimenti amministrativi</w:t>
            </w:r>
          </w:p>
        </w:tc>
        <w:tc>
          <w:tcPr>
            <w:tcW w:w="3402" w:type="dxa"/>
          </w:tcPr>
          <w:p w14:paraId="414D845A" w14:textId="77777777" w:rsidR="00F1171E" w:rsidRPr="00E36B2E" w:rsidRDefault="00F1171E" w:rsidP="00177685">
            <w:r w:rsidRPr="008021E8">
              <w:t xml:space="preserve">Inappropriata valutazione sulla richiesta di </w:t>
            </w:r>
            <w:r>
              <w:t>trasferimento</w:t>
            </w:r>
          </w:p>
        </w:tc>
        <w:tc>
          <w:tcPr>
            <w:tcW w:w="1843" w:type="dxa"/>
          </w:tcPr>
          <w:p w14:paraId="55DB3507" w14:textId="77777777" w:rsidR="00F1171E" w:rsidRPr="00825C32" w:rsidRDefault="00D42B49" w:rsidP="00177685">
            <w:pPr>
              <w:jc w:val="center"/>
              <w:rPr>
                <w:b/>
              </w:rPr>
            </w:pPr>
            <w:r>
              <w:rPr>
                <w:b/>
              </w:rPr>
              <w:t>2</w:t>
            </w:r>
          </w:p>
        </w:tc>
        <w:tc>
          <w:tcPr>
            <w:tcW w:w="5670" w:type="dxa"/>
          </w:tcPr>
          <w:p w14:paraId="558E408F" w14:textId="77777777" w:rsidR="00F1171E" w:rsidRDefault="00F1171E" w:rsidP="00177685">
            <w:r>
              <w:t>Seguire la procedura per la richiesta di trasferimento.</w:t>
            </w:r>
          </w:p>
          <w:p w14:paraId="4D4F80D2" w14:textId="77777777" w:rsidR="00F1171E" w:rsidRDefault="00F1171E" w:rsidP="00177685"/>
        </w:tc>
      </w:tr>
      <w:tr w:rsidR="008021E8" w14:paraId="129A0680" w14:textId="77777777" w:rsidTr="00423A6C">
        <w:trPr>
          <w:trHeight w:val="675"/>
        </w:trPr>
        <w:tc>
          <w:tcPr>
            <w:tcW w:w="3681" w:type="dxa"/>
            <w:shd w:val="clear" w:color="auto" w:fill="F2F2F2" w:themeFill="background1" w:themeFillShade="F2"/>
          </w:tcPr>
          <w:p w14:paraId="72A7D4A4" w14:textId="77777777" w:rsidR="008021E8" w:rsidRDefault="008021E8" w:rsidP="003C6629">
            <w:r>
              <w:t>Provvedimenti amministrativi</w:t>
            </w:r>
          </w:p>
        </w:tc>
        <w:tc>
          <w:tcPr>
            <w:tcW w:w="3402" w:type="dxa"/>
          </w:tcPr>
          <w:p w14:paraId="2B958FB1" w14:textId="77777777" w:rsidR="008021E8" w:rsidRPr="008021E8" w:rsidRDefault="008021E8" w:rsidP="003C6629">
            <w:r>
              <w:t>Inappropriato procedimento per l’opinamento di parcelle</w:t>
            </w:r>
          </w:p>
        </w:tc>
        <w:tc>
          <w:tcPr>
            <w:tcW w:w="1843" w:type="dxa"/>
          </w:tcPr>
          <w:p w14:paraId="23B6335F" w14:textId="77777777" w:rsidR="008021E8" w:rsidRPr="00825C32" w:rsidRDefault="00D42B49" w:rsidP="00423A6C">
            <w:pPr>
              <w:jc w:val="center"/>
              <w:rPr>
                <w:b/>
              </w:rPr>
            </w:pPr>
            <w:r>
              <w:rPr>
                <w:b/>
              </w:rPr>
              <w:t>2</w:t>
            </w:r>
          </w:p>
        </w:tc>
        <w:tc>
          <w:tcPr>
            <w:tcW w:w="5670" w:type="dxa"/>
          </w:tcPr>
          <w:p w14:paraId="1FDD9496" w14:textId="77777777" w:rsidR="008021E8" w:rsidRDefault="009550B3" w:rsidP="00E36B2E">
            <w:r>
              <w:t>Applicazione d</w:t>
            </w:r>
            <w:r w:rsidR="00D16BA7">
              <w:t xml:space="preserve">el Regolamento </w:t>
            </w:r>
            <w:r>
              <w:t>dell</w:t>
            </w:r>
            <w:r w:rsidR="00D16BA7">
              <w:t>a</w:t>
            </w:r>
            <w:r>
              <w:t xml:space="preserve"> Commission</w:t>
            </w:r>
            <w:r w:rsidR="00D16BA7">
              <w:t>e</w:t>
            </w:r>
            <w:r>
              <w:t xml:space="preserve"> Pareri </w:t>
            </w:r>
            <w:r w:rsidR="00D16BA7">
              <w:t>e della procedura per il riscio dei pareri di congruità sui corrispettivi per le prestazioni professionali.</w:t>
            </w:r>
          </w:p>
        </w:tc>
      </w:tr>
      <w:tr w:rsidR="00A976E2" w14:paraId="0F9C73B5" w14:textId="77777777" w:rsidTr="00423A6C">
        <w:trPr>
          <w:trHeight w:val="675"/>
        </w:trPr>
        <w:tc>
          <w:tcPr>
            <w:tcW w:w="3681" w:type="dxa"/>
            <w:shd w:val="clear" w:color="auto" w:fill="F2F2F2" w:themeFill="background1" w:themeFillShade="F2"/>
          </w:tcPr>
          <w:p w14:paraId="39F82555" w14:textId="77777777" w:rsidR="00A976E2" w:rsidRDefault="00A976E2" w:rsidP="00A976E2">
            <w:r>
              <w:lastRenderedPageBreak/>
              <w:t>Provvedimenti amministrativi</w:t>
            </w:r>
          </w:p>
        </w:tc>
        <w:tc>
          <w:tcPr>
            <w:tcW w:w="3402" w:type="dxa"/>
          </w:tcPr>
          <w:p w14:paraId="7FBCF6A1" w14:textId="77777777" w:rsidR="00A976E2" w:rsidRPr="00E36B2E" w:rsidRDefault="00A976E2" w:rsidP="00A976E2">
            <w:r w:rsidRPr="00423A6C">
              <w:t>Comportamento discrezionale della Commissione</w:t>
            </w:r>
            <w:r>
              <w:t xml:space="preserve"> nei procedimenti di </w:t>
            </w:r>
            <w:r w:rsidRPr="00423A6C">
              <w:t>Approvazione graduatoria di concorso relativa alle procedure di selezione</w:t>
            </w:r>
          </w:p>
        </w:tc>
        <w:tc>
          <w:tcPr>
            <w:tcW w:w="1843" w:type="dxa"/>
          </w:tcPr>
          <w:p w14:paraId="0F4E8D01" w14:textId="77777777" w:rsidR="00A976E2" w:rsidRPr="00825C32" w:rsidRDefault="00D42B49" w:rsidP="00A976E2">
            <w:pPr>
              <w:jc w:val="center"/>
              <w:rPr>
                <w:b/>
              </w:rPr>
            </w:pPr>
            <w:r>
              <w:rPr>
                <w:b/>
              </w:rPr>
              <w:t>2</w:t>
            </w:r>
          </w:p>
        </w:tc>
        <w:tc>
          <w:tcPr>
            <w:tcW w:w="5670" w:type="dxa"/>
          </w:tcPr>
          <w:p w14:paraId="5384256C" w14:textId="77777777" w:rsidR="00A976E2" w:rsidRDefault="00A976E2" w:rsidP="00A976E2">
            <w:pPr>
              <w:pStyle w:val="Paragrafoelenco"/>
              <w:ind w:left="28"/>
            </w:pPr>
            <w:r w:rsidRPr="00F1171E">
              <w:t>Il Consiglio esamina ed approva o ratifica le scelte della Commissione, su base di documentazione comprovante le modalità ed i criteri adottati per le selezioni.</w:t>
            </w:r>
          </w:p>
        </w:tc>
      </w:tr>
      <w:tr w:rsidR="00A976E2" w14:paraId="7EE2BDE0" w14:textId="77777777" w:rsidTr="008B4A06">
        <w:trPr>
          <w:trHeight w:val="675"/>
        </w:trPr>
        <w:tc>
          <w:tcPr>
            <w:tcW w:w="3681" w:type="dxa"/>
            <w:shd w:val="clear" w:color="auto" w:fill="F2F2F2" w:themeFill="background1" w:themeFillShade="F2"/>
          </w:tcPr>
          <w:p w14:paraId="000FA792" w14:textId="77777777" w:rsidR="00A976E2" w:rsidRDefault="00A976E2" w:rsidP="00A976E2">
            <w:r>
              <w:t>Provvedimenti amministrativi</w:t>
            </w:r>
          </w:p>
        </w:tc>
        <w:tc>
          <w:tcPr>
            <w:tcW w:w="3402" w:type="dxa"/>
          </w:tcPr>
          <w:p w14:paraId="739C4415" w14:textId="77777777" w:rsidR="00A976E2" w:rsidRPr="00423A6C" w:rsidRDefault="00A976E2" w:rsidP="00A976E2">
            <w:r>
              <w:t>Inappropriata valutazione richieste di esonero dall’obbligo formativo</w:t>
            </w:r>
          </w:p>
        </w:tc>
        <w:tc>
          <w:tcPr>
            <w:tcW w:w="1843" w:type="dxa"/>
          </w:tcPr>
          <w:p w14:paraId="4CECD4BD" w14:textId="77777777" w:rsidR="00A976E2" w:rsidRPr="00825C32" w:rsidRDefault="00D42B49" w:rsidP="00A976E2">
            <w:pPr>
              <w:jc w:val="center"/>
              <w:rPr>
                <w:b/>
              </w:rPr>
            </w:pPr>
            <w:r>
              <w:rPr>
                <w:b/>
              </w:rPr>
              <w:t>2</w:t>
            </w:r>
          </w:p>
        </w:tc>
        <w:tc>
          <w:tcPr>
            <w:tcW w:w="5670" w:type="dxa"/>
          </w:tcPr>
          <w:p w14:paraId="34AA288F" w14:textId="77777777" w:rsidR="00A976E2" w:rsidRDefault="00A976E2" w:rsidP="00A976E2">
            <w:pPr>
              <w:pStyle w:val="Paragrafoelenco"/>
              <w:ind w:left="28"/>
            </w:pPr>
            <w:r w:rsidRPr="00A976E2">
              <w:t>Valutazione della richiesta da parte del Consiglio sulla base della casistica prevista dalle procedure, senza eccezione che non sia preliminarmente approvata collegialmente dal Consiglio stesso come modifica alla procedura di validità generale.</w:t>
            </w:r>
          </w:p>
        </w:tc>
      </w:tr>
      <w:tr w:rsidR="00A976E2" w14:paraId="3B0701AB" w14:textId="77777777" w:rsidTr="00E103A5">
        <w:trPr>
          <w:trHeight w:val="50"/>
        </w:trPr>
        <w:tc>
          <w:tcPr>
            <w:tcW w:w="3681" w:type="dxa"/>
            <w:shd w:val="clear" w:color="auto" w:fill="00B0F0"/>
          </w:tcPr>
          <w:p w14:paraId="5B9B48F6" w14:textId="77777777" w:rsidR="00A976E2" w:rsidRDefault="00A976E2" w:rsidP="00A976E2">
            <w:pPr>
              <w:rPr>
                <w:b/>
                <w:smallCaps/>
              </w:rPr>
            </w:pPr>
          </w:p>
          <w:p w14:paraId="6F4AF8AE" w14:textId="77777777" w:rsidR="00A976E2" w:rsidRPr="00852D3A" w:rsidRDefault="00A976E2" w:rsidP="00A976E2">
            <w:pPr>
              <w:rPr>
                <w:b/>
                <w:smallCaps/>
              </w:rPr>
            </w:pPr>
            <w:r w:rsidRPr="00852D3A">
              <w:rPr>
                <w:b/>
                <w:smallCaps/>
              </w:rPr>
              <w:t>Area affidamento incarichi interni</w:t>
            </w:r>
          </w:p>
          <w:p w14:paraId="2A3319F5" w14:textId="77777777" w:rsidR="00A976E2" w:rsidRDefault="00A976E2" w:rsidP="00A976E2"/>
        </w:tc>
        <w:tc>
          <w:tcPr>
            <w:tcW w:w="3402" w:type="dxa"/>
          </w:tcPr>
          <w:p w14:paraId="05779177" w14:textId="77777777" w:rsidR="00A976E2" w:rsidRDefault="00A976E2" w:rsidP="00A976E2"/>
        </w:tc>
        <w:tc>
          <w:tcPr>
            <w:tcW w:w="1843" w:type="dxa"/>
          </w:tcPr>
          <w:p w14:paraId="57144451" w14:textId="77777777" w:rsidR="00A976E2" w:rsidRDefault="00A976E2" w:rsidP="00A976E2">
            <w:pPr>
              <w:jc w:val="center"/>
            </w:pPr>
          </w:p>
        </w:tc>
        <w:tc>
          <w:tcPr>
            <w:tcW w:w="5670" w:type="dxa"/>
          </w:tcPr>
          <w:p w14:paraId="3F8DB935" w14:textId="77777777" w:rsidR="00A976E2" w:rsidRDefault="00A976E2" w:rsidP="00A976E2"/>
        </w:tc>
      </w:tr>
      <w:tr w:rsidR="00A976E2" w14:paraId="586960B9" w14:textId="77777777" w:rsidTr="00A3009A">
        <w:trPr>
          <w:trHeight w:val="54"/>
        </w:trPr>
        <w:tc>
          <w:tcPr>
            <w:tcW w:w="3681" w:type="dxa"/>
            <w:shd w:val="clear" w:color="auto" w:fill="F2F2F2" w:themeFill="background1" w:themeFillShade="F2"/>
          </w:tcPr>
          <w:p w14:paraId="16D7C7AD" w14:textId="77777777" w:rsidR="00A976E2" w:rsidRDefault="00A976E2" w:rsidP="00A976E2">
            <w:r>
              <w:t>Definizione dell’oggetto dell’affidamento</w:t>
            </w:r>
          </w:p>
        </w:tc>
        <w:tc>
          <w:tcPr>
            <w:tcW w:w="3402" w:type="dxa"/>
            <w:vMerge w:val="restart"/>
          </w:tcPr>
          <w:p w14:paraId="6F14076B" w14:textId="77777777" w:rsidR="00A976E2" w:rsidRDefault="00A976E2" w:rsidP="00A976E2">
            <w:r w:rsidRPr="00F61BB1">
              <w:t>Inappropriata valutazione della competenza del soggetto delegato</w:t>
            </w:r>
          </w:p>
        </w:tc>
        <w:tc>
          <w:tcPr>
            <w:tcW w:w="1843" w:type="dxa"/>
            <w:vMerge w:val="restart"/>
          </w:tcPr>
          <w:p w14:paraId="6E6D9053" w14:textId="77777777" w:rsidR="00A976E2" w:rsidRPr="00825C32" w:rsidRDefault="00026BF6" w:rsidP="00A976E2">
            <w:pPr>
              <w:jc w:val="center"/>
              <w:rPr>
                <w:b/>
              </w:rPr>
            </w:pPr>
            <w:r>
              <w:rPr>
                <w:b/>
              </w:rPr>
              <w:t>2</w:t>
            </w:r>
            <w:r w:rsidR="00A976E2">
              <w:rPr>
                <w:b/>
              </w:rPr>
              <w:t>,</w:t>
            </w:r>
            <w:r>
              <w:rPr>
                <w:b/>
              </w:rPr>
              <w:t>66</w:t>
            </w:r>
          </w:p>
        </w:tc>
        <w:tc>
          <w:tcPr>
            <w:tcW w:w="5670" w:type="dxa"/>
            <w:vMerge w:val="restart"/>
          </w:tcPr>
          <w:p w14:paraId="7C46B51D" w14:textId="77777777" w:rsidR="00A976E2" w:rsidRDefault="00A976E2" w:rsidP="00A976E2">
            <w:pPr>
              <w:ind w:left="28"/>
            </w:pPr>
            <w:r w:rsidRPr="00A976E2">
              <w:t>Il conferimento di incarichi interni deve essere preventivamente definito a cura del Presidente al quale</w:t>
            </w:r>
            <w:r>
              <w:t xml:space="preserve"> spetta la verifica preliminare di incompatibilità/inconferibilità in collaborazione con il Responsabile Trasparenza e Prevenzione della Corruzione.</w:t>
            </w:r>
          </w:p>
          <w:p w14:paraId="3F9F0834" w14:textId="77777777" w:rsidR="00A976E2" w:rsidRDefault="00A976E2" w:rsidP="00A976E2">
            <w:pPr>
              <w:ind w:left="28"/>
            </w:pPr>
            <w:r>
              <w:t>L’incarico proposto deve essere approvato dal Consiglio riunito collegialmente.</w:t>
            </w:r>
          </w:p>
          <w:p w14:paraId="530A97AB" w14:textId="77777777" w:rsidR="00A976E2" w:rsidRDefault="00A976E2" w:rsidP="00A976E2">
            <w:pPr>
              <w:ind w:left="28"/>
            </w:pPr>
            <w:r>
              <w:t>Il Presidente, il Tesoriere o il Segretario non hanno facoltà di conferire incarichi diretti senza esperire la procedura qui descritta.</w:t>
            </w:r>
          </w:p>
        </w:tc>
      </w:tr>
      <w:tr w:rsidR="00A976E2" w14:paraId="2D2F4D0F" w14:textId="77777777" w:rsidTr="00A3009A">
        <w:trPr>
          <w:trHeight w:val="54"/>
        </w:trPr>
        <w:tc>
          <w:tcPr>
            <w:tcW w:w="3681" w:type="dxa"/>
            <w:shd w:val="clear" w:color="auto" w:fill="F2F2F2" w:themeFill="background1" w:themeFillShade="F2"/>
          </w:tcPr>
          <w:p w14:paraId="5DB07EBC" w14:textId="77777777" w:rsidR="00A976E2" w:rsidRDefault="00A976E2" w:rsidP="00A976E2">
            <w:r>
              <w:t>Individuazione dei requisiti per l’affidamento</w:t>
            </w:r>
          </w:p>
        </w:tc>
        <w:tc>
          <w:tcPr>
            <w:tcW w:w="3402" w:type="dxa"/>
            <w:vMerge/>
          </w:tcPr>
          <w:p w14:paraId="56FAD0DB" w14:textId="77777777" w:rsidR="00A976E2" w:rsidRDefault="00A976E2" w:rsidP="00A976E2"/>
        </w:tc>
        <w:tc>
          <w:tcPr>
            <w:tcW w:w="1843" w:type="dxa"/>
            <w:vMerge/>
          </w:tcPr>
          <w:p w14:paraId="6F2B443D" w14:textId="77777777" w:rsidR="00A976E2" w:rsidRDefault="00A976E2" w:rsidP="00A976E2">
            <w:pPr>
              <w:jc w:val="center"/>
            </w:pPr>
          </w:p>
        </w:tc>
        <w:tc>
          <w:tcPr>
            <w:tcW w:w="5670" w:type="dxa"/>
            <w:vMerge/>
          </w:tcPr>
          <w:p w14:paraId="69E5BA77" w14:textId="77777777" w:rsidR="00A976E2" w:rsidRDefault="00A976E2" w:rsidP="00A976E2"/>
        </w:tc>
      </w:tr>
      <w:tr w:rsidR="00A976E2" w14:paraId="720A3BB2" w14:textId="77777777" w:rsidTr="00A3009A">
        <w:trPr>
          <w:trHeight w:val="54"/>
        </w:trPr>
        <w:tc>
          <w:tcPr>
            <w:tcW w:w="3681" w:type="dxa"/>
            <w:shd w:val="clear" w:color="auto" w:fill="F2F2F2" w:themeFill="background1" w:themeFillShade="F2"/>
          </w:tcPr>
          <w:p w14:paraId="0AAC0C86" w14:textId="77777777" w:rsidR="00A976E2" w:rsidRDefault="00A976E2" w:rsidP="00A976E2">
            <w:r>
              <w:t>Valutazione dei requisiti per l’affidamento</w:t>
            </w:r>
          </w:p>
        </w:tc>
        <w:tc>
          <w:tcPr>
            <w:tcW w:w="3402" w:type="dxa"/>
            <w:vMerge/>
          </w:tcPr>
          <w:p w14:paraId="05691C84" w14:textId="77777777" w:rsidR="00A976E2" w:rsidRDefault="00A976E2" w:rsidP="00A976E2"/>
        </w:tc>
        <w:tc>
          <w:tcPr>
            <w:tcW w:w="1843" w:type="dxa"/>
            <w:vMerge/>
          </w:tcPr>
          <w:p w14:paraId="2C77B165" w14:textId="77777777" w:rsidR="00A976E2" w:rsidRDefault="00A976E2" w:rsidP="00A976E2">
            <w:pPr>
              <w:jc w:val="center"/>
            </w:pPr>
          </w:p>
        </w:tc>
        <w:tc>
          <w:tcPr>
            <w:tcW w:w="5670" w:type="dxa"/>
            <w:vMerge/>
          </w:tcPr>
          <w:p w14:paraId="06DD4770" w14:textId="77777777" w:rsidR="00A976E2" w:rsidRDefault="00A976E2" w:rsidP="00A976E2"/>
        </w:tc>
      </w:tr>
      <w:tr w:rsidR="00A976E2" w14:paraId="43DD0268" w14:textId="77777777" w:rsidTr="00A3009A">
        <w:trPr>
          <w:trHeight w:val="54"/>
        </w:trPr>
        <w:tc>
          <w:tcPr>
            <w:tcW w:w="3681" w:type="dxa"/>
            <w:shd w:val="clear" w:color="auto" w:fill="F2F2F2" w:themeFill="background1" w:themeFillShade="F2"/>
          </w:tcPr>
          <w:p w14:paraId="0DA11BB8" w14:textId="77777777" w:rsidR="00A976E2" w:rsidRDefault="00A976E2" w:rsidP="00A976E2">
            <w:r>
              <w:t>Valutazione incompatibilità/inconferibilità</w:t>
            </w:r>
          </w:p>
        </w:tc>
        <w:tc>
          <w:tcPr>
            <w:tcW w:w="3402" w:type="dxa"/>
            <w:vMerge/>
          </w:tcPr>
          <w:p w14:paraId="78B125A7" w14:textId="77777777" w:rsidR="00A976E2" w:rsidRDefault="00A976E2" w:rsidP="00A976E2"/>
        </w:tc>
        <w:tc>
          <w:tcPr>
            <w:tcW w:w="1843" w:type="dxa"/>
            <w:vMerge/>
          </w:tcPr>
          <w:p w14:paraId="3EFE6045" w14:textId="77777777" w:rsidR="00A976E2" w:rsidRDefault="00A976E2" w:rsidP="00A976E2">
            <w:pPr>
              <w:jc w:val="center"/>
            </w:pPr>
          </w:p>
        </w:tc>
        <w:tc>
          <w:tcPr>
            <w:tcW w:w="5670" w:type="dxa"/>
            <w:vMerge/>
          </w:tcPr>
          <w:p w14:paraId="3FC0006C" w14:textId="77777777" w:rsidR="00A976E2" w:rsidRDefault="00A976E2" w:rsidP="00A976E2"/>
        </w:tc>
      </w:tr>
      <w:tr w:rsidR="00A976E2" w14:paraId="56040CEC" w14:textId="77777777" w:rsidTr="00A3009A">
        <w:trPr>
          <w:trHeight w:val="54"/>
        </w:trPr>
        <w:tc>
          <w:tcPr>
            <w:tcW w:w="3681" w:type="dxa"/>
            <w:shd w:val="clear" w:color="auto" w:fill="F2F2F2" w:themeFill="background1" w:themeFillShade="F2"/>
          </w:tcPr>
          <w:p w14:paraId="10B21B16" w14:textId="77777777" w:rsidR="00A976E2" w:rsidRPr="00A57901" w:rsidRDefault="00A976E2" w:rsidP="00A976E2">
            <w:pPr>
              <w:rPr>
                <w:color w:val="FF0000"/>
              </w:rPr>
            </w:pPr>
            <w:r>
              <w:t xml:space="preserve">Conferimento dell’incarico </w:t>
            </w:r>
            <w:r w:rsidRPr="005B6371">
              <w:t xml:space="preserve">da </w:t>
            </w:r>
            <w:r>
              <w:t xml:space="preserve">parte del Consiglio o del Consigliere </w:t>
            </w:r>
            <w:r w:rsidRPr="005B6371">
              <w:t>Segretario/</w:t>
            </w:r>
            <w:r>
              <w:t xml:space="preserve">Consigliere </w:t>
            </w:r>
            <w:r w:rsidRPr="005B6371">
              <w:t>Tesoriere</w:t>
            </w:r>
          </w:p>
        </w:tc>
        <w:tc>
          <w:tcPr>
            <w:tcW w:w="3402" w:type="dxa"/>
            <w:vMerge/>
          </w:tcPr>
          <w:p w14:paraId="1BC5E386" w14:textId="77777777" w:rsidR="00A976E2" w:rsidRDefault="00A976E2" w:rsidP="00A976E2"/>
        </w:tc>
        <w:tc>
          <w:tcPr>
            <w:tcW w:w="1843" w:type="dxa"/>
            <w:vMerge/>
          </w:tcPr>
          <w:p w14:paraId="11B65EEE" w14:textId="77777777" w:rsidR="00A976E2" w:rsidRDefault="00A976E2" w:rsidP="00A976E2">
            <w:pPr>
              <w:jc w:val="center"/>
            </w:pPr>
          </w:p>
        </w:tc>
        <w:tc>
          <w:tcPr>
            <w:tcW w:w="5670" w:type="dxa"/>
            <w:vMerge/>
          </w:tcPr>
          <w:p w14:paraId="1C647C5F" w14:textId="77777777" w:rsidR="00A976E2" w:rsidRDefault="00A976E2" w:rsidP="00A976E2"/>
        </w:tc>
      </w:tr>
      <w:tr w:rsidR="00A976E2" w14:paraId="70FE6C26" w14:textId="77777777" w:rsidTr="00B745E7">
        <w:trPr>
          <w:trHeight w:val="43"/>
        </w:trPr>
        <w:tc>
          <w:tcPr>
            <w:tcW w:w="3681" w:type="dxa"/>
            <w:shd w:val="clear" w:color="auto" w:fill="FFC000"/>
          </w:tcPr>
          <w:p w14:paraId="74708D5A" w14:textId="77777777" w:rsidR="00A976E2" w:rsidRDefault="00A976E2" w:rsidP="00A976E2">
            <w:pPr>
              <w:rPr>
                <w:b/>
                <w:smallCaps/>
              </w:rPr>
            </w:pPr>
          </w:p>
          <w:p w14:paraId="1CEBAAD0" w14:textId="77777777" w:rsidR="00A976E2" w:rsidRDefault="00A976E2" w:rsidP="00A976E2">
            <w:pPr>
              <w:rPr>
                <w:b/>
                <w:smallCaps/>
              </w:rPr>
            </w:pPr>
            <w:r w:rsidRPr="000C3946">
              <w:rPr>
                <w:b/>
                <w:smallCaps/>
              </w:rPr>
              <w:t>Ar</w:t>
            </w:r>
            <w:r>
              <w:rPr>
                <w:b/>
                <w:smallCaps/>
              </w:rPr>
              <w:t>ee di rischio specifiche dell’Ordine</w:t>
            </w:r>
          </w:p>
          <w:p w14:paraId="18049D72" w14:textId="77777777" w:rsidR="00A976E2" w:rsidRPr="000C3946" w:rsidRDefault="00A976E2" w:rsidP="00A976E2">
            <w:pPr>
              <w:rPr>
                <w:b/>
                <w:smallCaps/>
              </w:rPr>
            </w:pPr>
          </w:p>
        </w:tc>
        <w:tc>
          <w:tcPr>
            <w:tcW w:w="3402" w:type="dxa"/>
          </w:tcPr>
          <w:p w14:paraId="0418D484" w14:textId="77777777" w:rsidR="00A976E2" w:rsidRDefault="00A976E2" w:rsidP="00A976E2"/>
        </w:tc>
        <w:tc>
          <w:tcPr>
            <w:tcW w:w="1843" w:type="dxa"/>
          </w:tcPr>
          <w:p w14:paraId="479D84F9" w14:textId="77777777" w:rsidR="00A976E2" w:rsidRDefault="00A976E2" w:rsidP="00A976E2"/>
        </w:tc>
        <w:tc>
          <w:tcPr>
            <w:tcW w:w="5670" w:type="dxa"/>
          </w:tcPr>
          <w:p w14:paraId="01032711" w14:textId="77777777" w:rsidR="00A976E2" w:rsidRDefault="00A976E2" w:rsidP="00A976E2"/>
        </w:tc>
      </w:tr>
      <w:tr w:rsidR="00A976E2" w14:paraId="05C304AD" w14:textId="77777777" w:rsidTr="00B745E7">
        <w:trPr>
          <w:trHeight w:val="43"/>
        </w:trPr>
        <w:tc>
          <w:tcPr>
            <w:tcW w:w="3681" w:type="dxa"/>
            <w:shd w:val="clear" w:color="auto" w:fill="F2F2F2" w:themeFill="background1" w:themeFillShade="F2"/>
          </w:tcPr>
          <w:p w14:paraId="6B87D7C1" w14:textId="77777777" w:rsidR="00A976E2" w:rsidRDefault="00A976E2" w:rsidP="00A976E2">
            <w:r w:rsidRPr="00396BBC">
              <w:t>Partnership con soggetti esterni quali enti di formazione</w:t>
            </w:r>
          </w:p>
        </w:tc>
        <w:tc>
          <w:tcPr>
            <w:tcW w:w="3402" w:type="dxa"/>
          </w:tcPr>
          <w:p w14:paraId="556CE659" w14:textId="77777777" w:rsidR="00A976E2" w:rsidRDefault="00A976E2" w:rsidP="00A976E2">
            <w:r w:rsidRPr="00F80860">
              <w:t>Inappropriata valutazione del provider</w:t>
            </w:r>
          </w:p>
        </w:tc>
        <w:tc>
          <w:tcPr>
            <w:tcW w:w="1843" w:type="dxa"/>
          </w:tcPr>
          <w:p w14:paraId="4DCDB913" w14:textId="77777777" w:rsidR="00A976E2" w:rsidRPr="00825C32" w:rsidRDefault="00D42B49" w:rsidP="00A976E2">
            <w:pPr>
              <w:jc w:val="center"/>
              <w:rPr>
                <w:b/>
              </w:rPr>
            </w:pPr>
            <w:r>
              <w:rPr>
                <w:b/>
              </w:rPr>
              <w:t>2</w:t>
            </w:r>
            <w:r w:rsidR="00A976E2">
              <w:rPr>
                <w:b/>
              </w:rPr>
              <w:t>,</w:t>
            </w:r>
            <w:r>
              <w:rPr>
                <w:b/>
              </w:rPr>
              <w:t>66</w:t>
            </w:r>
          </w:p>
        </w:tc>
        <w:tc>
          <w:tcPr>
            <w:tcW w:w="5670" w:type="dxa"/>
          </w:tcPr>
          <w:p w14:paraId="6841F873" w14:textId="77777777" w:rsidR="00A976E2" w:rsidRDefault="00A976E2" w:rsidP="00A976E2">
            <w:pPr>
              <w:pStyle w:val="Paragrafoelenco"/>
              <w:ind w:left="0"/>
            </w:pPr>
            <w:r>
              <w:t>Valutazione del Provider da parte del</w:t>
            </w:r>
            <w:r w:rsidR="00A30303">
              <w:t xml:space="preserve"> Consiglio </w:t>
            </w:r>
            <w:r>
              <w:t>oltre che da parte della Fondazione dell’Ordine.</w:t>
            </w:r>
          </w:p>
          <w:p w14:paraId="45E538DB" w14:textId="77777777" w:rsidR="00A976E2" w:rsidRDefault="00A976E2" w:rsidP="00A976E2">
            <w:pPr>
              <w:pStyle w:val="Paragrafoelenco"/>
              <w:ind w:left="28"/>
            </w:pPr>
            <w:r>
              <w:t>Proposta di partnership motivata e supportata da idonee informazioni sui requisiti al Consiglio che la approva.</w:t>
            </w:r>
          </w:p>
        </w:tc>
      </w:tr>
      <w:tr w:rsidR="00A976E2" w14:paraId="66FFFFE8" w14:textId="77777777" w:rsidTr="00B745E7">
        <w:trPr>
          <w:trHeight w:val="43"/>
        </w:trPr>
        <w:tc>
          <w:tcPr>
            <w:tcW w:w="3681" w:type="dxa"/>
            <w:shd w:val="clear" w:color="auto" w:fill="F2F2F2" w:themeFill="background1" w:themeFillShade="F2"/>
          </w:tcPr>
          <w:p w14:paraId="25970F88" w14:textId="77777777" w:rsidR="00A976E2" w:rsidRDefault="00A976E2" w:rsidP="00A976E2">
            <w:r w:rsidRPr="00396BBC">
              <w:t>Controllo dei soggetti esterni autorizzati dal CNI come provider di formazione</w:t>
            </w:r>
          </w:p>
        </w:tc>
        <w:tc>
          <w:tcPr>
            <w:tcW w:w="3402" w:type="dxa"/>
          </w:tcPr>
          <w:p w14:paraId="2F3B8E1A" w14:textId="77777777" w:rsidR="00A976E2" w:rsidRDefault="00A976E2" w:rsidP="00A976E2">
            <w:r w:rsidRPr="00F80860">
              <w:t>Mancato o inappropriato controllo</w:t>
            </w:r>
          </w:p>
        </w:tc>
        <w:tc>
          <w:tcPr>
            <w:tcW w:w="1843" w:type="dxa"/>
          </w:tcPr>
          <w:p w14:paraId="1AC7500B" w14:textId="77777777" w:rsidR="00A976E2" w:rsidRPr="00A976E2" w:rsidRDefault="00D42B49" w:rsidP="00A976E2">
            <w:pPr>
              <w:jc w:val="center"/>
              <w:rPr>
                <w:b/>
              </w:rPr>
            </w:pPr>
            <w:r>
              <w:rPr>
                <w:b/>
              </w:rPr>
              <w:t>2</w:t>
            </w:r>
            <w:r w:rsidR="00A976E2" w:rsidRPr="00A976E2">
              <w:rPr>
                <w:b/>
              </w:rPr>
              <w:t>,</w:t>
            </w:r>
            <w:r>
              <w:rPr>
                <w:b/>
              </w:rPr>
              <w:t>66</w:t>
            </w:r>
          </w:p>
        </w:tc>
        <w:tc>
          <w:tcPr>
            <w:tcW w:w="5670" w:type="dxa"/>
          </w:tcPr>
          <w:p w14:paraId="6B566C3E" w14:textId="77777777" w:rsidR="00A976E2" w:rsidRDefault="00A976E2" w:rsidP="00A976E2">
            <w:pPr>
              <w:pStyle w:val="Paragrafoelenco"/>
              <w:ind w:left="0"/>
            </w:pPr>
            <w:r>
              <w:t>Controllo del rispetto formale delle procedure di formazione.</w:t>
            </w:r>
          </w:p>
          <w:p w14:paraId="6D8373D7" w14:textId="77777777" w:rsidR="00A976E2" w:rsidRDefault="00A976E2" w:rsidP="00A976E2">
            <w:pPr>
              <w:pStyle w:val="Paragrafoelenco"/>
              <w:ind w:left="0"/>
            </w:pPr>
            <w:r>
              <w:t>Segnalazione al CNI di eventuali anomalie.</w:t>
            </w:r>
          </w:p>
        </w:tc>
      </w:tr>
      <w:tr w:rsidR="00A976E2" w14:paraId="6ECBA76C" w14:textId="77777777" w:rsidTr="00B745E7">
        <w:trPr>
          <w:trHeight w:val="43"/>
        </w:trPr>
        <w:tc>
          <w:tcPr>
            <w:tcW w:w="3681" w:type="dxa"/>
            <w:shd w:val="clear" w:color="auto" w:fill="F2F2F2" w:themeFill="background1" w:themeFillShade="F2"/>
          </w:tcPr>
          <w:p w14:paraId="06094A6A" w14:textId="77777777" w:rsidR="00A976E2" w:rsidRPr="00396BBC" w:rsidRDefault="00A976E2" w:rsidP="00A976E2">
            <w:r w:rsidRPr="00396BBC">
              <w:lastRenderedPageBreak/>
              <w:t>Erogazione di attività di formazione da parte di Fondazioni connesse/collegate all’Ordine</w:t>
            </w:r>
          </w:p>
        </w:tc>
        <w:tc>
          <w:tcPr>
            <w:tcW w:w="3402" w:type="dxa"/>
          </w:tcPr>
          <w:p w14:paraId="2D7883E6" w14:textId="77777777" w:rsidR="00A976E2" w:rsidRPr="00F80860" w:rsidRDefault="00A976E2" w:rsidP="00A976E2">
            <w:r w:rsidRPr="00396BBC">
              <w:t>Processo di gestione delle attività formative, avuto riguardo alla strutturazione didattica, ai costi, al rispetto del</w:t>
            </w:r>
            <w:r w:rsidR="00A30303">
              <w:t xml:space="preserve"> Regolamento e del Testo Unico</w:t>
            </w:r>
          </w:p>
        </w:tc>
        <w:tc>
          <w:tcPr>
            <w:tcW w:w="1843" w:type="dxa"/>
          </w:tcPr>
          <w:p w14:paraId="0368DBA9" w14:textId="77777777" w:rsidR="00A976E2" w:rsidRPr="00A976E2" w:rsidRDefault="00D42B49" w:rsidP="00A976E2">
            <w:pPr>
              <w:jc w:val="center"/>
              <w:rPr>
                <w:b/>
              </w:rPr>
            </w:pPr>
            <w:r>
              <w:rPr>
                <w:b/>
              </w:rPr>
              <w:t>2</w:t>
            </w:r>
            <w:r w:rsidR="00A976E2" w:rsidRPr="00A976E2">
              <w:rPr>
                <w:b/>
              </w:rPr>
              <w:t>,</w:t>
            </w:r>
            <w:r>
              <w:rPr>
                <w:b/>
              </w:rPr>
              <w:t>66</w:t>
            </w:r>
          </w:p>
        </w:tc>
        <w:tc>
          <w:tcPr>
            <w:tcW w:w="5670" w:type="dxa"/>
          </w:tcPr>
          <w:p w14:paraId="68BF9259" w14:textId="77777777" w:rsidR="00A976E2" w:rsidRDefault="00A976E2" w:rsidP="00A976E2">
            <w:pPr>
              <w:pStyle w:val="Paragrafoelenco"/>
              <w:ind w:left="28"/>
            </w:pPr>
            <w:r>
              <w:t>La Fondazione dell’Ordine, per statuto, ha almeno 3 Consiglieri appartenenti al Consiglio dell’Ordine, tra i quali di diritto il Tesoriere.</w:t>
            </w:r>
          </w:p>
          <w:p w14:paraId="185E43C4" w14:textId="77777777" w:rsidR="00A976E2" w:rsidRDefault="00A976E2" w:rsidP="00A976E2">
            <w:pPr>
              <w:pStyle w:val="Paragrafoelenco"/>
              <w:ind w:left="28"/>
            </w:pPr>
            <w:r>
              <w:t>Questi sorvegliano sulle procedure seguite dalla Fondazione per l’approvazione dei corsi di formazione con riguardo alla struttura didattica, ai costi e al rispetto del</w:t>
            </w:r>
            <w:r w:rsidR="00A30303">
              <w:t xml:space="preserve"> Regolamento e del Testo Unico</w:t>
            </w:r>
            <w:r>
              <w:t>.</w:t>
            </w:r>
          </w:p>
          <w:p w14:paraId="735A6B1A" w14:textId="77777777" w:rsidR="00A976E2" w:rsidRDefault="00A976E2" w:rsidP="00A976E2">
            <w:pPr>
              <w:pStyle w:val="Paragrafoelenco"/>
              <w:ind w:left="28"/>
            </w:pPr>
            <w:r>
              <w:t>I Consiglieri interessati riferiscono costantemente al Presidente e periodicamente al Consiglio dell’Ordine sull’operato della Fondazione, come da Statuto, evidenziano eventuali anomalie riscontrate nei procedimenti, rispetto alle quali il Consiglio dell’Ordine si attiva, mediante il Presidente, per garantirne l’efficacia.</w:t>
            </w:r>
          </w:p>
        </w:tc>
      </w:tr>
      <w:tr w:rsidR="00A976E2" w14:paraId="4D2B5A5D" w14:textId="77777777" w:rsidTr="00B745E7">
        <w:trPr>
          <w:trHeight w:val="43"/>
        </w:trPr>
        <w:tc>
          <w:tcPr>
            <w:tcW w:w="3681" w:type="dxa"/>
            <w:shd w:val="clear" w:color="auto" w:fill="F2F2F2" w:themeFill="background1" w:themeFillShade="F2"/>
          </w:tcPr>
          <w:p w14:paraId="15E2D87E" w14:textId="77777777" w:rsidR="00A976E2" w:rsidRDefault="00A976E2" w:rsidP="00A976E2">
            <w:r>
              <w:t>Erogazione in proprio di attività di formazione non a pagamento per gli iscritti</w:t>
            </w:r>
          </w:p>
        </w:tc>
        <w:tc>
          <w:tcPr>
            <w:tcW w:w="3402" w:type="dxa"/>
          </w:tcPr>
          <w:p w14:paraId="3A980FCC" w14:textId="77777777" w:rsidR="00A976E2" w:rsidRDefault="00A976E2" w:rsidP="00A976E2">
            <w:r w:rsidRPr="00853605">
              <w:t>Mancato o inappropriato rispetto dei regolamenti e Linee guida sulla strutturazione didattica degli eventi</w:t>
            </w:r>
          </w:p>
        </w:tc>
        <w:tc>
          <w:tcPr>
            <w:tcW w:w="1843" w:type="dxa"/>
          </w:tcPr>
          <w:p w14:paraId="76A2DD86" w14:textId="77777777" w:rsidR="00A976E2" w:rsidRPr="00825C32" w:rsidRDefault="002C78E6" w:rsidP="00A976E2">
            <w:pPr>
              <w:jc w:val="center"/>
              <w:rPr>
                <w:b/>
              </w:rPr>
            </w:pPr>
            <w:r>
              <w:rPr>
                <w:b/>
              </w:rPr>
              <w:t>2,66</w:t>
            </w:r>
          </w:p>
        </w:tc>
        <w:tc>
          <w:tcPr>
            <w:tcW w:w="5670" w:type="dxa"/>
          </w:tcPr>
          <w:p w14:paraId="61194468" w14:textId="77777777" w:rsidR="00A976E2" w:rsidRDefault="00A976E2" w:rsidP="00A976E2">
            <w:r>
              <w:t>Le attività di formazione non a pagamento per gli iscritti seguono le stesse procedure previste per le attività a pagamento.</w:t>
            </w:r>
          </w:p>
          <w:p w14:paraId="216224D2" w14:textId="77777777" w:rsidR="00A976E2" w:rsidRDefault="00A976E2" w:rsidP="00A976E2">
            <w:r>
              <w:t>L’erogazione in proprio attraverso i Consiglieri può riguardare soltanto i corsi per la deontologia professionale o i servizi Inarcassa e può essere soltanto a titolo gratuito senza compenso per il Consigliere interessato.</w:t>
            </w:r>
          </w:p>
        </w:tc>
      </w:tr>
      <w:tr w:rsidR="00A976E2" w14:paraId="18E0F338" w14:textId="77777777" w:rsidTr="00B745E7">
        <w:trPr>
          <w:trHeight w:val="43"/>
        </w:trPr>
        <w:tc>
          <w:tcPr>
            <w:tcW w:w="3681" w:type="dxa"/>
            <w:shd w:val="clear" w:color="auto" w:fill="F2F2F2" w:themeFill="background1" w:themeFillShade="F2"/>
          </w:tcPr>
          <w:p w14:paraId="133685F8" w14:textId="77777777" w:rsidR="00A976E2" w:rsidRDefault="00A976E2" w:rsidP="00A976E2">
            <w:r w:rsidRPr="003E1366">
              <w:t>Erogazione in proprio di attività di formazione</w:t>
            </w:r>
            <w:r>
              <w:t xml:space="preserve"> a pagamento per gli iscritti</w:t>
            </w:r>
          </w:p>
        </w:tc>
        <w:tc>
          <w:tcPr>
            <w:tcW w:w="3402" w:type="dxa"/>
          </w:tcPr>
          <w:p w14:paraId="2DBE28F4" w14:textId="77777777" w:rsidR="00A976E2" w:rsidRDefault="00A976E2" w:rsidP="00A976E2">
            <w:r>
              <w:t xml:space="preserve">Processo di erogazione diretta di servizi di </w:t>
            </w:r>
            <w:r w:rsidRPr="001066BB">
              <w:t xml:space="preserve">formazione </w:t>
            </w:r>
          </w:p>
          <w:p w14:paraId="7335D268" w14:textId="77777777" w:rsidR="00A976E2" w:rsidRDefault="00A976E2" w:rsidP="00A976E2">
            <w:r>
              <w:t>Processo di formazione del prezzo dell’evento formativo</w:t>
            </w:r>
          </w:p>
          <w:p w14:paraId="72D5E1B4" w14:textId="77777777" w:rsidR="00A976E2" w:rsidRPr="007378BC" w:rsidRDefault="00A976E2" w:rsidP="00A976E2">
            <w:pPr>
              <w:rPr>
                <w:color w:val="FF0000"/>
              </w:rPr>
            </w:pPr>
          </w:p>
        </w:tc>
        <w:tc>
          <w:tcPr>
            <w:tcW w:w="1843" w:type="dxa"/>
          </w:tcPr>
          <w:p w14:paraId="1240B566" w14:textId="77777777" w:rsidR="00A976E2" w:rsidRPr="00825C32" w:rsidRDefault="002C78E6" w:rsidP="00A976E2">
            <w:pPr>
              <w:jc w:val="center"/>
              <w:rPr>
                <w:b/>
              </w:rPr>
            </w:pPr>
            <w:r>
              <w:rPr>
                <w:b/>
              </w:rPr>
              <w:t>2</w:t>
            </w:r>
            <w:r w:rsidR="00A976E2">
              <w:rPr>
                <w:b/>
              </w:rPr>
              <w:t>,</w:t>
            </w:r>
            <w:r>
              <w:rPr>
                <w:b/>
              </w:rPr>
              <w:t>66</w:t>
            </w:r>
          </w:p>
        </w:tc>
        <w:tc>
          <w:tcPr>
            <w:tcW w:w="5670" w:type="dxa"/>
          </w:tcPr>
          <w:p w14:paraId="577BB909" w14:textId="77777777" w:rsidR="00A976E2" w:rsidRDefault="00A976E2" w:rsidP="00A976E2">
            <w:pPr>
              <w:pStyle w:val="Paragrafoelenco"/>
              <w:ind w:left="0"/>
            </w:pPr>
            <w:r>
              <w:t>Per la formazione del prezzo e per il compenso valgono le stesse regole previste per i corsi di formazione non erogati in proprio.</w:t>
            </w:r>
          </w:p>
          <w:p w14:paraId="407663D7" w14:textId="77777777" w:rsidR="00A976E2" w:rsidRDefault="00A30303" w:rsidP="00A976E2">
            <w:pPr>
              <w:pStyle w:val="Paragrafoelenco"/>
              <w:ind w:left="0"/>
            </w:pPr>
            <w:r>
              <w:t xml:space="preserve">Il Consiglio </w:t>
            </w:r>
            <w:r w:rsidR="00A976E2">
              <w:t>vigila sulle anomalie eventuali riscontrate nelle attività di formazione proposte o gestite o riconducibili ai Consiglieri e ne riferisce immediatamente al Presidente e al Responsabile Trasparenza e Prevenzione della Corruzione per gli interventi necessari a tutela della trasparenza delle procedure di selezione dei Docenti, di formazione del prezzo dell’evento formativo e di compenso del docente.</w:t>
            </w:r>
          </w:p>
        </w:tc>
      </w:tr>
      <w:tr w:rsidR="00A976E2" w14:paraId="5144F1FD" w14:textId="77777777" w:rsidTr="00B745E7">
        <w:trPr>
          <w:trHeight w:val="43"/>
        </w:trPr>
        <w:tc>
          <w:tcPr>
            <w:tcW w:w="3681" w:type="dxa"/>
            <w:shd w:val="clear" w:color="auto" w:fill="F2F2F2" w:themeFill="background1" w:themeFillShade="F2"/>
          </w:tcPr>
          <w:p w14:paraId="08DF6318" w14:textId="77777777" w:rsidR="00A976E2" w:rsidRDefault="00A976E2" w:rsidP="00A976E2">
            <w:r>
              <w:t>Organizzazione del Congresso annuale</w:t>
            </w:r>
          </w:p>
        </w:tc>
        <w:tc>
          <w:tcPr>
            <w:tcW w:w="3402" w:type="dxa"/>
          </w:tcPr>
          <w:p w14:paraId="7CE94896" w14:textId="77777777" w:rsidR="00A976E2" w:rsidRDefault="00A976E2" w:rsidP="00A976E2">
            <w:r w:rsidRPr="00256060">
              <w:t xml:space="preserve">Processo di </w:t>
            </w:r>
            <w:r>
              <w:t>valutazione costi</w:t>
            </w:r>
          </w:p>
          <w:p w14:paraId="1C929D87" w14:textId="77777777" w:rsidR="00A976E2" w:rsidRDefault="00A976E2" w:rsidP="00A976E2"/>
          <w:p w14:paraId="3FB20169" w14:textId="77777777" w:rsidR="00A976E2" w:rsidRDefault="00A976E2" w:rsidP="00A976E2"/>
          <w:p w14:paraId="2AECE9EB" w14:textId="77777777" w:rsidR="00A976E2" w:rsidRPr="00256060" w:rsidRDefault="00A976E2" w:rsidP="00A976E2">
            <w:r>
              <w:t>Processo di individuazione di eventuali provider di servizi esterni</w:t>
            </w:r>
          </w:p>
        </w:tc>
        <w:tc>
          <w:tcPr>
            <w:tcW w:w="1843" w:type="dxa"/>
          </w:tcPr>
          <w:p w14:paraId="5DD6AEDE" w14:textId="77777777" w:rsidR="00A976E2" w:rsidRPr="00825C32" w:rsidRDefault="00A976E2" w:rsidP="00A976E2">
            <w:pPr>
              <w:jc w:val="center"/>
              <w:rPr>
                <w:b/>
              </w:rPr>
            </w:pPr>
          </w:p>
        </w:tc>
        <w:tc>
          <w:tcPr>
            <w:tcW w:w="5670" w:type="dxa"/>
          </w:tcPr>
          <w:p w14:paraId="0FFF53F7" w14:textId="77777777" w:rsidR="00A976E2" w:rsidRDefault="00A976E2" w:rsidP="00A976E2"/>
        </w:tc>
      </w:tr>
      <w:tr w:rsidR="00A976E2" w14:paraId="3C602A10" w14:textId="77777777" w:rsidTr="00B745E7">
        <w:trPr>
          <w:trHeight w:val="43"/>
        </w:trPr>
        <w:tc>
          <w:tcPr>
            <w:tcW w:w="3681" w:type="dxa"/>
            <w:shd w:val="clear" w:color="auto" w:fill="F2F2F2" w:themeFill="background1" w:themeFillShade="F2"/>
          </w:tcPr>
          <w:p w14:paraId="5D0446C8" w14:textId="77777777" w:rsidR="00A976E2" w:rsidRDefault="00A976E2" w:rsidP="00A976E2">
            <w:r w:rsidRPr="00185FF9">
              <w:lastRenderedPageBreak/>
              <w:t>Concessione ed erogazione di sovvenzioni, contributi, sussidi, ausili a Centri studi</w:t>
            </w:r>
            <w:r>
              <w:t>, enti di ricerca, etc</w:t>
            </w:r>
          </w:p>
        </w:tc>
        <w:tc>
          <w:tcPr>
            <w:tcW w:w="3402" w:type="dxa"/>
          </w:tcPr>
          <w:p w14:paraId="081C58A0" w14:textId="77777777" w:rsidR="00A976E2" w:rsidRPr="00A976E2" w:rsidRDefault="00A976E2" w:rsidP="00A976E2">
            <w:r>
              <w:t xml:space="preserve">Processo di erogazione sovvenzione per attività </w:t>
            </w:r>
            <w:r w:rsidRPr="00974B0B">
              <w:t>in base al Piano Programmatic</w:t>
            </w:r>
            <w:r w:rsidRPr="00A976E2">
              <w:t>o</w:t>
            </w:r>
          </w:p>
        </w:tc>
        <w:tc>
          <w:tcPr>
            <w:tcW w:w="1843" w:type="dxa"/>
          </w:tcPr>
          <w:p w14:paraId="4280B02A" w14:textId="77777777" w:rsidR="00A976E2" w:rsidRPr="00825C32" w:rsidRDefault="00A976E2" w:rsidP="00A976E2">
            <w:pPr>
              <w:jc w:val="center"/>
              <w:rPr>
                <w:b/>
              </w:rPr>
            </w:pPr>
            <w:r>
              <w:rPr>
                <w:b/>
              </w:rPr>
              <w:t>2</w:t>
            </w:r>
          </w:p>
        </w:tc>
        <w:tc>
          <w:tcPr>
            <w:tcW w:w="5670" w:type="dxa"/>
          </w:tcPr>
          <w:p w14:paraId="5DF32461" w14:textId="77777777" w:rsidR="00A976E2" w:rsidRDefault="00A976E2" w:rsidP="00A976E2">
            <w:pPr>
              <w:pStyle w:val="Paragrafoelenco"/>
              <w:ind w:left="0"/>
            </w:pPr>
            <w:r>
              <w:t>Proposta del Presidente in occasione di una riunione del Consiglio.</w:t>
            </w:r>
          </w:p>
          <w:p w14:paraId="53C7975F" w14:textId="77777777" w:rsidR="00A976E2" w:rsidRDefault="00A976E2" w:rsidP="00A976E2">
            <w:pPr>
              <w:pStyle w:val="Paragrafoelenco"/>
              <w:ind w:left="0"/>
            </w:pPr>
            <w:r>
              <w:t>Esame delle motivazioni e approvazione collegiale.</w:t>
            </w:r>
          </w:p>
          <w:p w14:paraId="2B06F433" w14:textId="77777777" w:rsidR="00A976E2" w:rsidRDefault="00A976E2" w:rsidP="00A976E2">
            <w:pPr>
              <w:pStyle w:val="Paragrafoelenco"/>
              <w:ind w:left="0"/>
            </w:pPr>
            <w:r>
              <w:t>E’ vietata la proposta di erogazione di sovvenzioni, contributi, sussidi o ausili a Centri Studi, enti di ricerca ecc. che siano riconducibili, anche indirettamente, alla persona o ai parenti entro il secondo grado dfi parentela dei Consiglieri.</w:t>
            </w:r>
          </w:p>
          <w:p w14:paraId="44D31674" w14:textId="77777777" w:rsidR="00A976E2" w:rsidRDefault="00A976E2" w:rsidP="00A976E2">
            <w:pPr>
              <w:pStyle w:val="Paragrafoelenco"/>
              <w:ind w:left="0"/>
            </w:pPr>
            <w:r>
              <w:t>Ove tale circostanza emerga con chiarezza e vi sia evidenza della possibile riconducibilità ad interessi di un Consigliere o suoi parenti entro il secondo grado di parentela, l’erogazione viene automaticamente esclusa o revocata d’ufficio, se già concessa.</w:t>
            </w:r>
          </w:p>
          <w:p w14:paraId="71113661" w14:textId="77777777" w:rsidR="00A976E2" w:rsidRDefault="00A976E2" w:rsidP="00A976E2">
            <w:pPr>
              <w:pStyle w:val="Paragrafoelenco"/>
              <w:ind w:left="0"/>
            </w:pPr>
            <w:r>
              <w:t>Il Consiglio potrà approvare una procedura che prevede la formazione di un Piano Programmatico delle concessioni ed erogazioni di sovvenzioni e contributi all’inizio di ciascun anno di attività (allo stato non esistente).</w:t>
            </w:r>
          </w:p>
        </w:tc>
      </w:tr>
      <w:tr w:rsidR="00A976E2" w14:paraId="0DE0E765" w14:textId="77777777" w:rsidTr="00B745E7">
        <w:trPr>
          <w:trHeight w:val="43"/>
        </w:trPr>
        <w:tc>
          <w:tcPr>
            <w:tcW w:w="3681" w:type="dxa"/>
            <w:shd w:val="clear" w:color="auto" w:fill="F2F2F2" w:themeFill="background1" w:themeFillShade="F2"/>
          </w:tcPr>
          <w:p w14:paraId="503A8758" w14:textId="77777777" w:rsidR="00A976E2" w:rsidRPr="00A976E2" w:rsidRDefault="00A976E2" w:rsidP="00A976E2">
            <w:r w:rsidRPr="00974B0B">
              <w:t xml:space="preserve">Versamento di quote associative presso enti ed organismi </w:t>
            </w:r>
            <w:r>
              <w:t>rappresentativi della categoria</w:t>
            </w:r>
          </w:p>
        </w:tc>
        <w:tc>
          <w:tcPr>
            <w:tcW w:w="3402" w:type="dxa"/>
          </w:tcPr>
          <w:p w14:paraId="70672B82" w14:textId="77777777" w:rsidR="00A976E2" w:rsidRPr="00974B0B" w:rsidRDefault="00A976E2" w:rsidP="00A976E2">
            <w:r w:rsidRPr="00974B0B">
              <w:t>P</w:t>
            </w:r>
            <w:r>
              <w:t xml:space="preserve">rocesso di valutazione di </w:t>
            </w:r>
            <w:r w:rsidRPr="00974B0B">
              <w:t>attività e Statuti Organismi internazionali</w:t>
            </w:r>
          </w:p>
        </w:tc>
        <w:tc>
          <w:tcPr>
            <w:tcW w:w="1843" w:type="dxa"/>
          </w:tcPr>
          <w:p w14:paraId="40FD13B0" w14:textId="77777777" w:rsidR="00A976E2" w:rsidRPr="00825C32" w:rsidRDefault="00BF524C" w:rsidP="00A976E2">
            <w:pPr>
              <w:jc w:val="center"/>
              <w:rPr>
                <w:b/>
              </w:rPr>
            </w:pPr>
            <w:r>
              <w:rPr>
                <w:b/>
              </w:rPr>
              <w:t>2</w:t>
            </w:r>
          </w:p>
        </w:tc>
        <w:tc>
          <w:tcPr>
            <w:tcW w:w="5670" w:type="dxa"/>
          </w:tcPr>
          <w:p w14:paraId="47E90B59" w14:textId="77777777" w:rsidR="00BF524C" w:rsidRDefault="00BF524C" w:rsidP="00BF524C">
            <w:pPr>
              <w:pStyle w:val="Paragrafoelenco"/>
              <w:ind w:left="28"/>
            </w:pPr>
            <w:r>
              <w:t>Valutazione del Tesoriere e del Presidente.</w:t>
            </w:r>
          </w:p>
          <w:p w14:paraId="526528F4" w14:textId="77777777" w:rsidR="00A976E2" w:rsidRDefault="00BF524C" w:rsidP="00BF524C">
            <w:pPr>
              <w:pStyle w:val="Paragrafoelenco"/>
              <w:ind w:left="28"/>
            </w:pPr>
            <w:r>
              <w:t>Approvazione di anno in anno da parte del Consiglio sulla base di evidenze oggettive dell’utilità del versamento delle quote associative ad Enti o Organismi per gli iscritti all’Ordine sulla base dell’effettivo riscontro di utilizzo o di beneficio per gli iscritti dell’adesione a detti Enti.</w:t>
            </w:r>
          </w:p>
        </w:tc>
      </w:tr>
      <w:tr w:rsidR="00A976E2" w14:paraId="21B68F66" w14:textId="77777777" w:rsidTr="00720C41">
        <w:tc>
          <w:tcPr>
            <w:tcW w:w="3681" w:type="dxa"/>
            <w:shd w:val="clear" w:color="auto" w:fill="F2F2F2" w:themeFill="background1" w:themeFillShade="F2"/>
          </w:tcPr>
          <w:p w14:paraId="0819BD80" w14:textId="77777777" w:rsidR="00A976E2" w:rsidRPr="00720C41" w:rsidRDefault="00A976E2" w:rsidP="00A976E2">
            <w:r w:rsidRPr="00AF4480">
              <w:t>Gestione dei provider esterni che pongono in essere servizi essenziali (IT, comunicazione, etc.)</w:t>
            </w:r>
          </w:p>
        </w:tc>
        <w:tc>
          <w:tcPr>
            <w:tcW w:w="3402" w:type="dxa"/>
          </w:tcPr>
          <w:p w14:paraId="5E8786A1" w14:textId="77777777" w:rsidR="00A976E2" w:rsidRDefault="00A976E2" w:rsidP="00A976E2">
            <w:r w:rsidRPr="00206A5C">
              <w:t>Mancato raggiungimento del livello qualitativo dei servizi</w:t>
            </w:r>
          </w:p>
        </w:tc>
        <w:tc>
          <w:tcPr>
            <w:tcW w:w="1843" w:type="dxa"/>
          </w:tcPr>
          <w:p w14:paraId="1044B1FF" w14:textId="77777777" w:rsidR="00A976E2" w:rsidRPr="00825C32" w:rsidRDefault="00BF524C" w:rsidP="00A976E2">
            <w:pPr>
              <w:jc w:val="center"/>
              <w:rPr>
                <w:b/>
              </w:rPr>
            </w:pPr>
            <w:r>
              <w:rPr>
                <w:b/>
              </w:rPr>
              <w:t>1,34</w:t>
            </w:r>
          </w:p>
        </w:tc>
        <w:tc>
          <w:tcPr>
            <w:tcW w:w="5670" w:type="dxa"/>
          </w:tcPr>
          <w:p w14:paraId="366D3F81" w14:textId="77777777" w:rsidR="00BF524C" w:rsidRDefault="00BF524C" w:rsidP="00BF524C">
            <w:pPr>
              <w:pStyle w:val="Paragrafoelenco"/>
              <w:ind w:left="28"/>
            </w:pPr>
            <w:r>
              <w:t>La valutazione qualitativa dei servizi viene effettuata dal Presidente e dal Segretario che ne informano almeno annualmente il Consiglio.</w:t>
            </w:r>
          </w:p>
          <w:p w14:paraId="182A16BA" w14:textId="77777777" w:rsidR="00A976E2" w:rsidRDefault="00BF524C" w:rsidP="00BF524C">
            <w:pPr>
              <w:pStyle w:val="Paragrafoelenco"/>
              <w:ind w:left="0"/>
            </w:pPr>
            <w:r>
              <w:t>I contratti di fornitura di servizi essenziali vengono approvati ex novo alla scadenza secondo le procedure previste per l’acquisizione di beni, servizi e forniture di cui sopra.</w:t>
            </w:r>
          </w:p>
        </w:tc>
      </w:tr>
      <w:tr w:rsidR="00A976E2" w14:paraId="7D89B736" w14:textId="77777777" w:rsidTr="00720C41">
        <w:tc>
          <w:tcPr>
            <w:tcW w:w="3681" w:type="dxa"/>
            <w:shd w:val="clear" w:color="auto" w:fill="F2F2F2" w:themeFill="background1" w:themeFillShade="F2"/>
          </w:tcPr>
          <w:p w14:paraId="73A80DE0" w14:textId="77777777" w:rsidR="00A976E2" w:rsidRDefault="00A976E2" w:rsidP="00A976E2">
            <w:r>
              <w:t>Concessione di Patrocinio ad eventi di soggetti terzi</w:t>
            </w:r>
          </w:p>
        </w:tc>
        <w:tc>
          <w:tcPr>
            <w:tcW w:w="3402" w:type="dxa"/>
          </w:tcPr>
          <w:p w14:paraId="112931B4" w14:textId="77777777" w:rsidR="00A976E2" w:rsidRPr="00974B0B" w:rsidRDefault="00A976E2" w:rsidP="00A976E2">
            <w:r>
              <w:t>Processo di concessione di patrocinio</w:t>
            </w:r>
          </w:p>
        </w:tc>
        <w:tc>
          <w:tcPr>
            <w:tcW w:w="1843" w:type="dxa"/>
          </w:tcPr>
          <w:p w14:paraId="74648C72" w14:textId="77777777" w:rsidR="00A976E2" w:rsidRPr="00825C32" w:rsidRDefault="00BF524C" w:rsidP="00A976E2">
            <w:pPr>
              <w:jc w:val="center"/>
              <w:rPr>
                <w:b/>
              </w:rPr>
            </w:pPr>
            <w:r>
              <w:rPr>
                <w:b/>
              </w:rPr>
              <w:t>2,6</w:t>
            </w:r>
            <w:r w:rsidR="002C78E6">
              <w:rPr>
                <w:b/>
              </w:rPr>
              <w:t>6</w:t>
            </w:r>
          </w:p>
        </w:tc>
        <w:tc>
          <w:tcPr>
            <w:tcW w:w="5670" w:type="dxa"/>
          </w:tcPr>
          <w:p w14:paraId="506CEB3F" w14:textId="77777777" w:rsidR="00A976E2" w:rsidRDefault="00BF524C" w:rsidP="00BF524C">
            <w:pPr>
              <w:pStyle w:val="Paragrafoelenco"/>
              <w:ind w:left="0"/>
            </w:pPr>
            <w:r w:rsidRPr="00BF524C">
              <w:t xml:space="preserve">La concessione di Patrocinio avviene previo parere di ammissibilità da parte del Presidente e del Segretario e su approvazione del Consiglio dell’Ordine ove vi sia evidenza dell’utilità in termini istituzionali del Patrocinio stesso in quanto a contenuti scientifici e tecnologici, livello dei </w:t>
            </w:r>
            <w:r w:rsidRPr="00BF524C">
              <w:lastRenderedPageBreak/>
              <w:t>soggetti protagonisti e modalità di organizzazione degli eventi.</w:t>
            </w:r>
          </w:p>
        </w:tc>
      </w:tr>
      <w:tr w:rsidR="00A976E2" w14:paraId="335E59C4" w14:textId="77777777" w:rsidTr="00720C41">
        <w:tc>
          <w:tcPr>
            <w:tcW w:w="3681" w:type="dxa"/>
            <w:shd w:val="clear" w:color="auto" w:fill="F2F2F2" w:themeFill="background1" w:themeFillShade="F2"/>
          </w:tcPr>
          <w:p w14:paraId="27467EF7" w14:textId="77777777" w:rsidR="00A976E2" w:rsidRDefault="00A976E2" w:rsidP="00A976E2">
            <w:r>
              <w:lastRenderedPageBreak/>
              <w:t>Partecipazione del Presidente dell’Ordine o di Consiglieri ad eventi esterni</w:t>
            </w:r>
          </w:p>
        </w:tc>
        <w:tc>
          <w:tcPr>
            <w:tcW w:w="3402" w:type="dxa"/>
          </w:tcPr>
          <w:p w14:paraId="56819662" w14:textId="77777777" w:rsidR="00A976E2" w:rsidRDefault="00A976E2" w:rsidP="00A976E2">
            <w:r>
              <w:t>Processo di valutazione dell’evento, avuto riguardo agli organizzatori, ai contenuti, ad eventuali conflitti di interesse</w:t>
            </w:r>
          </w:p>
        </w:tc>
        <w:tc>
          <w:tcPr>
            <w:tcW w:w="1843" w:type="dxa"/>
          </w:tcPr>
          <w:p w14:paraId="44730079" w14:textId="77777777" w:rsidR="00A976E2" w:rsidRPr="00825C32" w:rsidRDefault="002C78E6" w:rsidP="00A976E2">
            <w:pPr>
              <w:jc w:val="center"/>
              <w:rPr>
                <w:b/>
              </w:rPr>
            </w:pPr>
            <w:r>
              <w:rPr>
                <w:b/>
              </w:rPr>
              <w:t>2</w:t>
            </w:r>
          </w:p>
        </w:tc>
        <w:tc>
          <w:tcPr>
            <w:tcW w:w="5670" w:type="dxa"/>
          </w:tcPr>
          <w:p w14:paraId="0AE5F7C1" w14:textId="77777777" w:rsidR="00A976E2" w:rsidRDefault="00BF524C" w:rsidP="00BF524C">
            <w:pPr>
              <w:pStyle w:val="Paragrafoelenco"/>
              <w:ind w:left="0"/>
            </w:pPr>
            <w:r w:rsidRPr="00BF524C">
              <w:t>Il Presidente riferisce al Consiglio circa la propria partecipazione o quella di Consiglieri ad eventi esterni. Il Consiglio si esprime sull’opportunità, sulla rilevanza, sul contenuto, sui soggetti organizzatori, sui costi rimborsabili al soggetto partecipante e su eventuali conflitti di interesse noti o potenziali che tali partecipazioni possono indurre. Il</w:t>
            </w:r>
            <w:r>
              <w:t xml:space="preserve"> </w:t>
            </w:r>
            <w:r w:rsidRPr="00BF524C">
              <w:t>Consiglio può negare il consenso alla partecipazione e, ove ciò avvenga ex-post, può avviare una azione disciplinare. Il Responsabile Trasparenza e Prevenzione della Corruzione attiva le procedure di segnalazione e le azioni correttive eventualmente necessarie.</w:t>
            </w:r>
          </w:p>
        </w:tc>
      </w:tr>
      <w:tr w:rsidR="00A976E2" w14:paraId="74334F4A" w14:textId="77777777" w:rsidTr="00720C41">
        <w:tc>
          <w:tcPr>
            <w:tcW w:w="3681" w:type="dxa"/>
            <w:shd w:val="clear" w:color="auto" w:fill="F2F2F2" w:themeFill="background1" w:themeFillShade="F2"/>
          </w:tcPr>
          <w:p w14:paraId="45A685F3" w14:textId="77777777" w:rsidR="00A976E2" w:rsidRDefault="00A976E2" w:rsidP="00A976E2">
            <w:r>
              <w:t>Partecipazione del Presidente dell’Ordine o di Consiglieri ad associazioni oppure enti i cui ambiti di interesse ed operatività siano coincidenti o simili a quelli dell’Ordine</w:t>
            </w:r>
          </w:p>
        </w:tc>
        <w:tc>
          <w:tcPr>
            <w:tcW w:w="3402" w:type="dxa"/>
          </w:tcPr>
          <w:p w14:paraId="206D9BA3" w14:textId="77777777" w:rsidR="00A976E2" w:rsidRDefault="00A976E2" w:rsidP="00A976E2">
            <w:r w:rsidRPr="00D37688">
              <w:t>Processo di valutazione dell’e</w:t>
            </w:r>
            <w:r>
              <w:t>nte, dello statuto e dell’oggetto sociale</w:t>
            </w:r>
          </w:p>
        </w:tc>
        <w:tc>
          <w:tcPr>
            <w:tcW w:w="1843" w:type="dxa"/>
          </w:tcPr>
          <w:p w14:paraId="27F88652" w14:textId="77777777" w:rsidR="00A976E2" w:rsidRPr="00825C32" w:rsidRDefault="002C78E6" w:rsidP="00A976E2">
            <w:pPr>
              <w:jc w:val="center"/>
              <w:rPr>
                <w:b/>
              </w:rPr>
            </w:pPr>
            <w:r>
              <w:rPr>
                <w:b/>
              </w:rPr>
              <w:t>2</w:t>
            </w:r>
          </w:p>
        </w:tc>
        <w:tc>
          <w:tcPr>
            <w:tcW w:w="5670" w:type="dxa"/>
          </w:tcPr>
          <w:p w14:paraId="0445C3EC" w14:textId="77777777" w:rsidR="00BF524C" w:rsidRDefault="00BF524C" w:rsidP="00BF524C">
            <w:pPr>
              <w:pStyle w:val="Paragrafoelenco"/>
              <w:ind w:left="0"/>
            </w:pPr>
            <w:r>
              <w:t>Monitoraggio sulle incompatibilità.</w:t>
            </w:r>
          </w:p>
          <w:p w14:paraId="0379D6D5" w14:textId="77777777" w:rsidR="00A976E2" w:rsidRDefault="00BF524C" w:rsidP="00BF524C">
            <w:pPr>
              <w:pStyle w:val="Paragrafoelenco"/>
              <w:ind w:left="0"/>
            </w:pPr>
            <w:r>
              <w:t>Acquisizione delle auto-dichiarazioni di incompatibilità dei Consiglieri con altre Associazioni o Enti con finalità eventualmente analoghe o coincidenti a quella dell’Ordine.</w:t>
            </w:r>
          </w:p>
        </w:tc>
      </w:tr>
      <w:tr w:rsidR="00A976E2" w14:paraId="06515553" w14:textId="77777777" w:rsidTr="00720C41">
        <w:tc>
          <w:tcPr>
            <w:tcW w:w="3681" w:type="dxa"/>
            <w:shd w:val="clear" w:color="auto" w:fill="F2F2F2" w:themeFill="background1" w:themeFillShade="F2"/>
          </w:tcPr>
          <w:p w14:paraId="6F75C6A3" w14:textId="77777777" w:rsidR="00A976E2" w:rsidRDefault="00A976E2" w:rsidP="00A976E2">
            <w:r>
              <w:t>Determinazione delle quote annuali dovute dagli iscritti</w:t>
            </w:r>
          </w:p>
        </w:tc>
        <w:tc>
          <w:tcPr>
            <w:tcW w:w="3402" w:type="dxa"/>
          </w:tcPr>
          <w:p w14:paraId="145245B1" w14:textId="77777777" w:rsidR="00A976E2" w:rsidRPr="00961A0B" w:rsidRDefault="00A976E2" w:rsidP="00A976E2">
            <w:r>
              <w:t>Processo di valutazione e d</w:t>
            </w:r>
            <w:r w:rsidRPr="00961A0B">
              <w:t>eterminazione assunta in sede Consiliare</w:t>
            </w:r>
          </w:p>
        </w:tc>
        <w:tc>
          <w:tcPr>
            <w:tcW w:w="1843" w:type="dxa"/>
          </w:tcPr>
          <w:p w14:paraId="33484F20" w14:textId="77777777" w:rsidR="00A976E2" w:rsidRPr="00825C32" w:rsidRDefault="00026BF6" w:rsidP="00A976E2">
            <w:pPr>
              <w:jc w:val="center"/>
              <w:rPr>
                <w:b/>
              </w:rPr>
            </w:pPr>
            <w:r>
              <w:rPr>
                <w:b/>
              </w:rPr>
              <w:t>2</w:t>
            </w:r>
          </w:p>
        </w:tc>
        <w:tc>
          <w:tcPr>
            <w:tcW w:w="5670" w:type="dxa"/>
          </w:tcPr>
          <w:p w14:paraId="78103E76" w14:textId="77777777" w:rsidR="00BF524C" w:rsidRDefault="00BF524C" w:rsidP="00BF524C">
            <w:pPr>
              <w:pStyle w:val="Paragrafoelenco"/>
              <w:ind w:left="28"/>
            </w:pPr>
            <w:r>
              <w:t>La valutazione viene effettuata annualmente, in una seduta del Consiglio, ascoltate le proposte di eventuale modifica motivata di variazione della quota di iscrizione.</w:t>
            </w:r>
          </w:p>
          <w:p w14:paraId="22392BC8" w14:textId="77777777" w:rsidR="00A976E2" w:rsidRDefault="00BF524C" w:rsidP="00BF524C">
            <w:pPr>
              <w:pStyle w:val="Paragrafoelenco"/>
              <w:ind w:left="28"/>
            </w:pPr>
            <w:r>
              <w:t>Ove vi sia una proposta di aumento delle quote, questa deve essere motivata da attività di riconosciuto interesse generale per gli iscritti o da progetti di attività istituzionali di interesse generale, ove ciò comporti una variazione non sostenibile del bilancio stante la quota in vigore.</w:t>
            </w:r>
          </w:p>
        </w:tc>
      </w:tr>
      <w:tr w:rsidR="00A976E2" w14:paraId="5EBF8A1B" w14:textId="77777777" w:rsidTr="00720C41">
        <w:tc>
          <w:tcPr>
            <w:tcW w:w="3681" w:type="dxa"/>
            <w:shd w:val="clear" w:color="auto" w:fill="F2F2F2" w:themeFill="background1" w:themeFillShade="F2"/>
          </w:tcPr>
          <w:p w14:paraId="7943176F" w14:textId="77777777" w:rsidR="00A976E2" w:rsidRDefault="00A976E2" w:rsidP="00A976E2">
            <w:r>
              <w:t>Rimborsi spese</w:t>
            </w:r>
          </w:p>
          <w:p w14:paraId="1DE6E5B4" w14:textId="77777777" w:rsidR="00A976E2" w:rsidRDefault="00A976E2" w:rsidP="00A976E2">
            <w:r>
              <w:t>A Consiglieri</w:t>
            </w:r>
          </w:p>
          <w:p w14:paraId="3E06DEEA" w14:textId="77777777" w:rsidR="00A976E2" w:rsidRDefault="00A976E2" w:rsidP="00A976E2">
            <w:r>
              <w:t>A personale</w:t>
            </w:r>
          </w:p>
        </w:tc>
        <w:tc>
          <w:tcPr>
            <w:tcW w:w="3402" w:type="dxa"/>
          </w:tcPr>
          <w:p w14:paraId="28A29D83" w14:textId="77777777" w:rsidR="00A976E2" w:rsidRDefault="00A976E2" w:rsidP="00A976E2">
            <w:r w:rsidRPr="00A0748A">
              <w:t>Autorizzazione di spese e rimborsi non conformi alle previsioni regolamentari interne</w:t>
            </w:r>
          </w:p>
        </w:tc>
        <w:tc>
          <w:tcPr>
            <w:tcW w:w="1843" w:type="dxa"/>
          </w:tcPr>
          <w:p w14:paraId="018170A7" w14:textId="77777777" w:rsidR="00A976E2" w:rsidRPr="00825C32" w:rsidRDefault="00026BF6" w:rsidP="00A976E2">
            <w:pPr>
              <w:jc w:val="center"/>
              <w:rPr>
                <w:b/>
              </w:rPr>
            </w:pPr>
            <w:r>
              <w:rPr>
                <w:b/>
              </w:rPr>
              <w:t>2</w:t>
            </w:r>
          </w:p>
        </w:tc>
        <w:tc>
          <w:tcPr>
            <w:tcW w:w="5670" w:type="dxa"/>
          </w:tcPr>
          <w:p w14:paraId="5DCB63C6" w14:textId="77777777" w:rsidR="00A976E2" w:rsidRDefault="00BF524C" w:rsidP="00BF524C">
            <w:pPr>
              <w:pStyle w:val="Paragrafoelenco"/>
              <w:ind w:left="0"/>
            </w:pPr>
            <w:r w:rsidRPr="00BF524C">
              <w:t>L’autorizzazione per spese o rimborsi non conformi alle previsioni regolamentari interne deve essere preventivamente richiesta e motivata dall’interessato al Presidente e al Tesoriere e deve essere caratterizzata esclusivamente da ragioni di necessità contingente e indifferibile che non può essere gestita attraverso l’applicazione del regolamento interno.</w:t>
            </w:r>
          </w:p>
        </w:tc>
      </w:tr>
      <w:tr w:rsidR="00A976E2" w14:paraId="14A58E79" w14:textId="77777777" w:rsidTr="00720C41">
        <w:tc>
          <w:tcPr>
            <w:tcW w:w="3681" w:type="dxa"/>
            <w:shd w:val="clear" w:color="auto" w:fill="F2F2F2" w:themeFill="background1" w:themeFillShade="F2"/>
          </w:tcPr>
          <w:p w14:paraId="752217AE" w14:textId="77777777" w:rsidR="00A976E2" w:rsidRDefault="00A976E2" w:rsidP="00A976E2">
            <w:r w:rsidRPr="00733717">
              <w:lastRenderedPageBreak/>
              <w:t>Individuazione professionisti per lo svolgimento di incarichi su richiesta di terzi</w:t>
            </w:r>
          </w:p>
        </w:tc>
        <w:tc>
          <w:tcPr>
            <w:tcW w:w="3402" w:type="dxa"/>
          </w:tcPr>
          <w:p w14:paraId="37F3614D" w14:textId="77777777" w:rsidR="00A976E2" w:rsidRDefault="00A976E2" w:rsidP="00A976E2">
            <w:r>
              <w:t>Utilizzo di criteri di selezione inappropriati oppure non trasparenti</w:t>
            </w:r>
          </w:p>
          <w:p w14:paraId="0EE8A0D1" w14:textId="77777777" w:rsidR="00A976E2" w:rsidRDefault="00A976E2" w:rsidP="00A976E2"/>
          <w:p w14:paraId="0D6E1D3D" w14:textId="77777777" w:rsidR="00A976E2" w:rsidRDefault="00A976E2" w:rsidP="00A976E2">
            <w:r>
              <w:t>Mancata turnazione dei professionisti individuati</w:t>
            </w:r>
          </w:p>
          <w:p w14:paraId="5464602F" w14:textId="77777777" w:rsidR="00A976E2" w:rsidRDefault="00A976E2" w:rsidP="00A976E2"/>
          <w:p w14:paraId="29CADFAA" w14:textId="77777777" w:rsidR="00A976E2" w:rsidRPr="00A0748A" w:rsidRDefault="00A976E2" w:rsidP="00A976E2">
            <w:r>
              <w:t>Mancata trasparenza su possibili compensi</w:t>
            </w:r>
          </w:p>
        </w:tc>
        <w:tc>
          <w:tcPr>
            <w:tcW w:w="1843" w:type="dxa"/>
          </w:tcPr>
          <w:p w14:paraId="66F34882" w14:textId="77777777" w:rsidR="00A976E2" w:rsidRPr="00825C32" w:rsidRDefault="00BF524C" w:rsidP="00A976E2">
            <w:pPr>
              <w:jc w:val="center"/>
              <w:rPr>
                <w:b/>
              </w:rPr>
            </w:pPr>
            <w:r>
              <w:rPr>
                <w:b/>
              </w:rPr>
              <w:t>2</w:t>
            </w:r>
          </w:p>
        </w:tc>
        <w:tc>
          <w:tcPr>
            <w:tcW w:w="5670" w:type="dxa"/>
          </w:tcPr>
          <w:p w14:paraId="1E319592" w14:textId="77777777" w:rsidR="000B482E" w:rsidRDefault="006C1F3D" w:rsidP="000B482E">
            <w:pPr>
              <w:pStyle w:val="Paragrafoelenco"/>
              <w:ind w:left="28"/>
            </w:pPr>
            <w:r>
              <w:t xml:space="preserve">Applicazione del </w:t>
            </w:r>
            <w:hyperlink r:id="rId6" w:history="1">
              <w:r w:rsidRPr="006C1F3D">
                <w:t>Regolamento segnalazione di professionisti per l’affidamento di incarichi</w:t>
              </w:r>
            </w:hyperlink>
            <w:r w:rsidRPr="006C1F3D">
              <w:t>.</w:t>
            </w:r>
          </w:p>
          <w:p w14:paraId="6F43BC8E" w14:textId="77777777" w:rsidR="000B482E" w:rsidRDefault="000B482E" w:rsidP="000B482E">
            <w:pPr>
              <w:pStyle w:val="Paragrafoelenco"/>
              <w:ind w:left="28"/>
            </w:pPr>
            <w:r>
              <w:t>Tutte le segnalazioni sono pubblicate sul Notiziario dell’Ordine.</w:t>
            </w:r>
          </w:p>
        </w:tc>
      </w:tr>
      <w:tr w:rsidR="00A976E2" w14:paraId="55434C01" w14:textId="77777777" w:rsidTr="00720C41">
        <w:tc>
          <w:tcPr>
            <w:tcW w:w="3681" w:type="dxa"/>
            <w:shd w:val="clear" w:color="auto" w:fill="F2F2F2" w:themeFill="background1" w:themeFillShade="F2"/>
          </w:tcPr>
          <w:p w14:paraId="2E57673D" w14:textId="77777777" w:rsidR="00A976E2" w:rsidRDefault="00A976E2" w:rsidP="00A976E2">
            <w:r>
              <w:t>Procedimento elettorale</w:t>
            </w:r>
          </w:p>
        </w:tc>
        <w:tc>
          <w:tcPr>
            <w:tcW w:w="3402" w:type="dxa"/>
          </w:tcPr>
          <w:p w14:paraId="6A205A3C" w14:textId="77777777" w:rsidR="00A976E2" w:rsidRPr="00961A0B" w:rsidRDefault="00A976E2" w:rsidP="00A976E2">
            <w:r w:rsidRPr="000F5BCA">
              <w:t>Processo per indizione e gestione delle elezioni del nuovo Consiglio dell’Ordine</w:t>
            </w:r>
          </w:p>
        </w:tc>
        <w:tc>
          <w:tcPr>
            <w:tcW w:w="1843" w:type="dxa"/>
          </w:tcPr>
          <w:p w14:paraId="7632B025" w14:textId="77777777" w:rsidR="00A976E2" w:rsidRDefault="00BF524C" w:rsidP="00A976E2">
            <w:pPr>
              <w:jc w:val="center"/>
              <w:rPr>
                <w:b/>
              </w:rPr>
            </w:pPr>
            <w:r>
              <w:rPr>
                <w:b/>
              </w:rPr>
              <w:t>2</w:t>
            </w:r>
          </w:p>
        </w:tc>
        <w:tc>
          <w:tcPr>
            <w:tcW w:w="5670" w:type="dxa"/>
          </w:tcPr>
          <w:p w14:paraId="119C816B" w14:textId="77777777" w:rsidR="00BF524C" w:rsidRDefault="00BF524C" w:rsidP="00BF524C">
            <w:pPr>
              <w:pStyle w:val="Paragrafoelenco"/>
              <w:ind w:left="28"/>
            </w:pPr>
            <w:r>
              <w:t>La raccolta delle candidature ed il processo per l’elezione del nuovo Consiglio, ivi compresa la selezione degli assistenti di seggio e degli scrutatori, avviene con la massima pubblicità attraverso comunicazioni dirette a tutti gli iscritti, sotto la supervisione congiunta della Segreteria, della Presidenza, del Responsabile Trasparenza e Prevenzione della Corruzione.</w:t>
            </w:r>
          </w:p>
          <w:p w14:paraId="3C1D90A8" w14:textId="77777777" w:rsidR="00A976E2" w:rsidRDefault="00BF524C" w:rsidP="00BF524C">
            <w:pPr>
              <w:pStyle w:val="Paragrafoelenco"/>
              <w:ind w:left="28"/>
            </w:pPr>
            <w:r>
              <w:t>Seguire il procedimento previsto dal Regolamento interno.</w:t>
            </w:r>
          </w:p>
        </w:tc>
      </w:tr>
    </w:tbl>
    <w:p w14:paraId="11C7AD70" w14:textId="77777777" w:rsidR="008332AE" w:rsidRDefault="008332AE"/>
    <w:sectPr w:rsidR="008332AE" w:rsidSect="00B745E7">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2094"/>
    <w:multiLevelType w:val="hybridMultilevel"/>
    <w:tmpl w:val="A3547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F004AE"/>
    <w:multiLevelType w:val="hybridMultilevel"/>
    <w:tmpl w:val="00CC12E8"/>
    <w:lvl w:ilvl="0" w:tplc="CAA831B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545A3D"/>
    <w:multiLevelType w:val="hybridMultilevel"/>
    <w:tmpl w:val="51965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A87E17"/>
    <w:multiLevelType w:val="hybridMultilevel"/>
    <w:tmpl w:val="2AB23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8922FB"/>
    <w:multiLevelType w:val="hybridMultilevel"/>
    <w:tmpl w:val="6A965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011EFC"/>
    <w:multiLevelType w:val="hybridMultilevel"/>
    <w:tmpl w:val="DF44C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7F59BC"/>
    <w:multiLevelType w:val="hybridMultilevel"/>
    <w:tmpl w:val="A61E4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720FD6"/>
    <w:multiLevelType w:val="hybridMultilevel"/>
    <w:tmpl w:val="8946B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EA64F1"/>
    <w:multiLevelType w:val="hybridMultilevel"/>
    <w:tmpl w:val="76A65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142E25"/>
    <w:multiLevelType w:val="hybridMultilevel"/>
    <w:tmpl w:val="383E0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914735"/>
    <w:multiLevelType w:val="hybridMultilevel"/>
    <w:tmpl w:val="193C9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8D5E8E"/>
    <w:multiLevelType w:val="hybridMultilevel"/>
    <w:tmpl w:val="7294F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E47B30"/>
    <w:multiLevelType w:val="hybridMultilevel"/>
    <w:tmpl w:val="A3D00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82009C"/>
    <w:multiLevelType w:val="hybridMultilevel"/>
    <w:tmpl w:val="222EB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11"/>
  </w:num>
  <w:num w:numId="7">
    <w:abstractNumId w:val="8"/>
  </w:num>
  <w:num w:numId="8">
    <w:abstractNumId w:val="10"/>
  </w:num>
  <w:num w:numId="9">
    <w:abstractNumId w:val="12"/>
  </w:num>
  <w:num w:numId="10">
    <w:abstractNumId w:val="5"/>
  </w:num>
  <w:num w:numId="11">
    <w:abstractNumId w:val="6"/>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AE"/>
    <w:rsid w:val="00011CFB"/>
    <w:rsid w:val="00026BF6"/>
    <w:rsid w:val="000A4049"/>
    <w:rsid w:val="000B482E"/>
    <w:rsid w:val="000C3946"/>
    <w:rsid w:val="000F5BCA"/>
    <w:rsid w:val="001044E8"/>
    <w:rsid w:val="00122258"/>
    <w:rsid w:val="00206A5C"/>
    <w:rsid w:val="00215031"/>
    <w:rsid w:val="0025302F"/>
    <w:rsid w:val="0025442F"/>
    <w:rsid w:val="002B1208"/>
    <w:rsid w:val="002C78E6"/>
    <w:rsid w:val="0033540A"/>
    <w:rsid w:val="00396BBC"/>
    <w:rsid w:val="003C34D6"/>
    <w:rsid w:val="003C6629"/>
    <w:rsid w:val="00423A6C"/>
    <w:rsid w:val="00524D23"/>
    <w:rsid w:val="00540721"/>
    <w:rsid w:val="005F0279"/>
    <w:rsid w:val="006374A8"/>
    <w:rsid w:val="00640525"/>
    <w:rsid w:val="00653A51"/>
    <w:rsid w:val="006A5B19"/>
    <w:rsid w:val="006C1F3D"/>
    <w:rsid w:val="006C7F36"/>
    <w:rsid w:val="006E37E2"/>
    <w:rsid w:val="006E51DB"/>
    <w:rsid w:val="00720C41"/>
    <w:rsid w:val="00733717"/>
    <w:rsid w:val="00752F0D"/>
    <w:rsid w:val="008021E8"/>
    <w:rsid w:val="00825C32"/>
    <w:rsid w:val="008332AE"/>
    <w:rsid w:val="00853605"/>
    <w:rsid w:val="00864F21"/>
    <w:rsid w:val="008813C9"/>
    <w:rsid w:val="00896AE8"/>
    <w:rsid w:val="008A6059"/>
    <w:rsid w:val="008B59D8"/>
    <w:rsid w:val="0090238F"/>
    <w:rsid w:val="00904498"/>
    <w:rsid w:val="00923728"/>
    <w:rsid w:val="009374FE"/>
    <w:rsid w:val="009550B3"/>
    <w:rsid w:val="00965C19"/>
    <w:rsid w:val="009A7D01"/>
    <w:rsid w:val="00A0748A"/>
    <w:rsid w:val="00A277AA"/>
    <w:rsid w:val="00A3009A"/>
    <w:rsid w:val="00A30303"/>
    <w:rsid w:val="00A67C6F"/>
    <w:rsid w:val="00A72B53"/>
    <w:rsid w:val="00A976E2"/>
    <w:rsid w:val="00AA0DF9"/>
    <w:rsid w:val="00AC2488"/>
    <w:rsid w:val="00AF4480"/>
    <w:rsid w:val="00AF7F5D"/>
    <w:rsid w:val="00B112DB"/>
    <w:rsid w:val="00B12F64"/>
    <w:rsid w:val="00B561C6"/>
    <w:rsid w:val="00B57F14"/>
    <w:rsid w:val="00B745E7"/>
    <w:rsid w:val="00BA26D0"/>
    <w:rsid w:val="00BA7DB6"/>
    <w:rsid w:val="00BC25AF"/>
    <w:rsid w:val="00BE601A"/>
    <w:rsid w:val="00BF524C"/>
    <w:rsid w:val="00C213B4"/>
    <w:rsid w:val="00C95D17"/>
    <w:rsid w:val="00CE1F61"/>
    <w:rsid w:val="00D1048F"/>
    <w:rsid w:val="00D16BA7"/>
    <w:rsid w:val="00D247F3"/>
    <w:rsid w:val="00D42B49"/>
    <w:rsid w:val="00D71193"/>
    <w:rsid w:val="00DC2AC2"/>
    <w:rsid w:val="00DD1241"/>
    <w:rsid w:val="00DD2443"/>
    <w:rsid w:val="00DD5528"/>
    <w:rsid w:val="00E103A5"/>
    <w:rsid w:val="00E262BF"/>
    <w:rsid w:val="00E36B2E"/>
    <w:rsid w:val="00E429D0"/>
    <w:rsid w:val="00E4523B"/>
    <w:rsid w:val="00E52E72"/>
    <w:rsid w:val="00E655FA"/>
    <w:rsid w:val="00EB3620"/>
    <w:rsid w:val="00ED792D"/>
    <w:rsid w:val="00EF4B87"/>
    <w:rsid w:val="00F100C5"/>
    <w:rsid w:val="00F1171E"/>
    <w:rsid w:val="00F61BB1"/>
    <w:rsid w:val="00F761AD"/>
    <w:rsid w:val="00F80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B88E"/>
  <w15:chartTrackingRefBased/>
  <w15:docId w15:val="{BDEE4A85-C292-4041-9E2E-665CE62B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3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601A"/>
    <w:pPr>
      <w:ind w:left="720"/>
      <w:contextualSpacing/>
    </w:pPr>
  </w:style>
  <w:style w:type="paragraph" w:styleId="Testofumetto">
    <w:name w:val="Balloon Text"/>
    <w:basedOn w:val="Normale"/>
    <w:link w:val="TestofumettoCarattere"/>
    <w:uiPriority w:val="99"/>
    <w:semiHidden/>
    <w:unhideWhenUsed/>
    <w:rsid w:val="009023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238F"/>
    <w:rPr>
      <w:rFonts w:ascii="Segoe UI" w:hAnsi="Segoe UI" w:cs="Segoe UI"/>
      <w:sz w:val="18"/>
      <w:szCs w:val="18"/>
    </w:rPr>
  </w:style>
  <w:style w:type="character" w:styleId="Enfasicorsivo">
    <w:name w:val="Emphasis"/>
    <w:basedOn w:val="Carpredefinitoparagrafo"/>
    <w:uiPriority w:val="20"/>
    <w:qFormat/>
    <w:rsid w:val="006C1F3D"/>
    <w:rPr>
      <w:i/>
      <w:iCs/>
    </w:rPr>
  </w:style>
  <w:style w:type="character" w:styleId="Collegamentoipertestuale">
    <w:name w:val="Hyperlink"/>
    <w:basedOn w:val="Carpredefinitoparagrafo"/>
    <w:uiPriority w:val="99"/>
    <w:semiHidden/>
    <w:unhideWhenUsed/>
    <w:rsid w:val="006C1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dingcomo.org/wp-content/uploads/2018/04/Regolamento_AffidamentoIncarichi_18apr20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E55E-EBA8-438C-8737-FD1F134E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2444</Words>
  <Characters>13932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Rosalisa Lancia</dc:creator>
  <cp:keywords/>
  <dc:description/>
  <cp:lastModifiedBy>Elena Gandola</cp:lastModifiedBy>
  <cp:revision>4</cp:revision>
  <cp:lastPrinted>2015-06-25T09:19:00Z</cp:lastPrinted>
  <dcterms:created xsi:type="dcterms:W3CDTF">2019-01-08T10:09:00Z</dcterms:created>
  <dcterms:modified xsi:type="dcterms:W3CDTF">2020-01-08T10:45:00Z</dcterms:modified>
</cp:coreProperties>
</file>